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63" w:rsidRDefault="00844663" w:rsidP="00D95DA6">
      <w:r w:rsidRPr="004E61BC">
        <w:rPr>
          <w:b/>
        </w:rPr>
        <w:t>Резюме</w:t>
      </w:r>
      <w:r>
        <w:t xml:space="preserve"> (страницы 1139-1144)</w:t>
      </w:r>
    </w:p>
    <w:p w:rsidR="00844663" w:rsidRPr="00061C54" w:rsidRDefault="00D85BEC" w:rsidP="00D95DA6">
      <w:pPr>
        <w:rPr>
          <w:b/>
        </w:rPr>
      </w:pPr>
      <w:r w:rsidRPr="00061C54">
        <w:rPr>
          <w:b/>
        </w:rPr>
        <w:t xml:space="preserve">Руководство </w:t>
      </w:r>
      <w:r w:rsidR="006A19C6" w:rsidRPr="00061C54">
        <w:rPr>
          <w:b/>
        </w:rPr>
        <w:t>на амбулаторный этап</w:t>
      </w:r>
    </w:p>
    <w:p w:rsidR="00D85BEC" w:rsidRPr="00EA67D2" w:rsidRDefault="0073499D" w:rsidP="00D95DA6">
      <w:pPr>
        <w:rPr>
          <w:b/>
        </w:rPr>
      </w:pPr>
      <w:r w:rsidRPr="00EA67D2">
        <w:rPr>
          <w:b/>
        </w:rPr>
        <w:t>Диагностика</w:t>
      </w:r>
    </w:p>
    <w:p w:rsidR="00D85BEC" w:rsidRDefault="00D85BEC" w:rsidP="00D95DA6">
      <w:pPr>
        <w:rPr>
          <w:i/>
        </w:rPr>
      </w:pPr>
      <w:r>
        <w:rPr>
          <w:i/>
        </w:rPr>
        <w:t>Когда следует подозревать аспирационную пневмонию?</w:t>
      </w:r>
    </w:p>
    <w:p w:rsidR="00D85BEC" w:rsidRDefault="00D85BEC" w:rsidP="00D95DA6">
      <w:r>
        <w:t xml:space="preserve">У пациентов с </w:t>
      </w:r>
      <w:r w:rsidR="004C02ED">
        <w:t>нарушени</w:t>
      </w:r>
      <w:r>
        <w:t>ем глотания, которые имеют симптомы острой инфекции нижних дыхательных путей (</w:t>
      </w:r>
      <w:r w:rsidR="004E61BC">
        <w:t>И</w:t>
      </w:r>
      <w:r>
        <w:t xml:space="preserve">НДП). Этим пациентам должна быть </w:t>
      </w:r>
      <w:r w:rsidRPr="002406FF">
        <w:t>выполнен</w:t>
      </w:r>
      <w:r w:rsidR="00A16D8D" w:rsidRPr="002406FF">
        <w:t>а рентгеногра</w:t>
      </w:r>
      <w:r w:rsidR="002406FF" w:rsidRPr="002406FF">
        <w:t>фия</w:t>
      </w:r>
      <w:r w:rsidR="002406FF">
        <w:t xml:space="preserve"> </w:t>
      </w:r>
      <w:r w:rsidR="00A16D8D" w:rsidRPr="002406FF">
        <w:t>грудной</w:t>
      </w:r>
      <w:r w:rsidR="00A16D8D">
        <w:t xml:space="preserve"> клетки</w:t>
      </w:r>
      <w:r>
        <w:t xml:space="preserve"> (С3). </w:t>
      </w:r>
    </w:p>
    <w:p w:rsidR="00A16D8D" w:rsidRDefault="00A16D8D" w:rsidP="00D95DA6">
      <w:pPr>
        <w:rPr>
          <w:i/>
        </w:rPr>
      </w:pPr>
      <w:r>
        <w:rPr>
          <w:i/>
        </w:rPr>
        <w:t>Когда следует подозревать лёгочную эмболию?</w:t>
      </w:r>
    </w:p>
    <w:p w:rsidR="00A16D8D" w:rsidRDefault="00A16D8D" w:rsidP="00D95DA6">
      <w:r>
        <w:t>У пациентов, подходящих под одну или несколько из следующих характеристик: тромбоз глубоких вен (ТГВ) или лёгочная эмболия в анамнезе; иммобилизация в течение последних 4 недель;  или онкологические заболевания (С3).</w:t>
      </w:r>
    </w:p>
    <w:p w:rsidR="00CC4ED7" w:rsidRDefault="006841CE" w:rsidP="00D95DA6">
      <w:pPr>
        <w:rPr>
          <w:i/>
        </w:rPr>
      </w:pPr>
      <w:r>
        <w:rPr>
          <w:i/>
        </w:rPr>
        <w:t>Когда следует подозревать хронические заболевания дыхательных путей?</w:t>
      </w:r>
    </w:p>
    <w:p w:rsidR="00FD5D88" w:rsidRDefault="009824D3" w:rsidP="00D95DA6">
      <w:r>
        <w:t xml:space="preserve">У пациентов, </w:t>
      </w:r>
      <w:proofErr w:type="gramStart"/>
      <w:r>
        <w:t>имеющих</w:t>
      </w:r>
      <w:proofErr w:type="gramEnd"/>
      <w:r>
        <w:t xml:space="preserve"> по крайней мере два из следующих </w:t>
      </w:r>
      <w:r w:rsidR="007B16B3">
        <w:t>факторов</w:t>
      </w:r>
      <w:r>
        <w:t xml:space="preserve">: хрипы; удлинённый выдох; курение в анамнезе; и симптомы аллергии. Таким пациентам должно быть проведено определение функции внешнего дыхания (ФВД),  </w:t>
      </w:r>
      <w:r w:rsidR="004C02ED">
        <w:t>для подтверждения хронического заболевания дыхательных путей (С3).</w:t>
      </w:r>
    </w:p>
    <w:p w:rsidR="00FD5D88" w:rsidRDefault="00FD5D88" w:rsidP="00D95DA6">
      <w:pPr>
        <w:rPr>
          <w:i/>
        </w:rPr>
      </w:pPr>
      <w:r>
        <w:rPr>
          <w:i/>
        </w:rPr>
        <w:t>Как провести дифференциальный диагноз между пневмонией и другими заболеваниями дыхательных путей?</w:t>
      </w:r>
    </w:p>
    <w:p w:rsidR="00BA2A32" w:rsidRDefault="004E61BC" w:rsidP="00D95DA6">
      <w:pPr>
        <w:rPr>
          <w:rFonts w:cs="AdvP7C2E"/>
        </w:rPr>
      </w:pPr>
      <w:r>
        <w:t>Пневмонию с</w:t>
      </w:r>
      <w:r w:rsidR="00BA2A32" w:rsidRPr="00BA2A32">
        <w:t xml:space="preserve">ледует </w:t>
      </w:r>
      <w:r w:rsidR="00BA2A32">
        <w:t xml:space="preserve">подозревать, если у </w:t>
      </w:r>
      <w:r>
        <w:t>пациента</w:t>
      </w:r>
      <w:r w:rsidR="00BA2A32">
        <w:t xml:space="preserve"> есть кашель и один из следующих симптомов: </w:t>
      </w:r>
      <w:r w:rsidR="00F749A7">
        <w:rPr>
          <w:rFonts w:cs="AdvP7C2E"/>
        </w:rPr>
        <w:t xml:space="preserve">вновь появившиеся фокальные изменения; </w:t>
      </w:r>
      <w:r w:rsidR="00BA2A32">
        <w:rPr>
          <w:rFonts w:cs="AdvP7C2E"/>
        </w:rPr>
        <w:t xml:space="preserve"> диспноэ; </w:t>
      </w:r>
      <w:proofErr w:type="spellStart"/>
      <w:r w:rsidR="00BA2A32">
        <w:rPr>
          <w:rFonts w:cs="AdvP7C2E"/>
        </w:rPr>
        <w:t>тахипноэ</w:t>
      </w:r>
      <w:proofErr w:type="spellEnd"/>
      <w:r w:rsidR="00BA2A32">
        <w:rPr>
          <w:rFonts w:cs="AdvP7C2E"/>
        </w:rPr>
        <w:t>; лихорадка, длящаяся более 4 дней.</w:t>
      </w:r>
    </w:p>
    <w:p w:rsidR="00BA2A32" w:rsidRDefault="00BA2A32" w:rsidP="00D95DA6">
      <w:r>
        <w:t xml:space="preserve">При подозрении на пневмонию должно быть выполнено рентгенологическое исследование </w:t>
      </w:r>
      <w:r w:rsidR="00D35B05">
        <w:t>для подтверждения диагноза</w:t>
      </w:r>
      <w:r w:rsidR="003141C3">
        <w:t xml:space="preserve"> </w:t>
      </w:r>
      <w:r w:rsidR="003A5083">
        <w:t>(</w:t>
      </w:r>
      <w:r w:rsidR="003141C3">
        <w:t>С</w:t>
      </w:r>
      <w:proofErr w:type="gramStart"/>
      <w:r w:rsidR="003141C3">
        <w:t>1</w:t>
      </w:r>
      <w:proofErr w:type="gramEnd"/>
      <w:r w:rsidR="003141C3">
        <w:t>)</w:t>
      </w:r>
      <w:r w:rsidR="00D35B05">
        <w:t>.</w:t>
      </w:r>
    </w:p>
    <w:p w:rsidR="00923B73" w:rsidRDefault="00923B73" w:rsidP="00D95DA6">
      <w:pPr>
        <w:rPr>
          <w:i/>
        </w:rPr>
      </w:pPr>
      <w:r>
        <w:rPr>
          <w:i/>
        </w:rPr>
        <w:t xml:space="preserve">Должен ли врач </w:t>
      </w:r>
      <w:r w:rsidR="00CA0946">
        <w:rPr>
          <w:i/>
        </w:rPr>
        <w:t xml:space="preserve">первого звена </w:t>
      </w:r>
      <w:r>
        <w:rPr>
          <w:i/>
        </w:rPr>
        <w:t>проводить этиологическую ми</w:t>
      </w:r>
      <w:r w:rsidR="00FC288F">
        <w:rPr>
          <w:i/>
        </w:rPr>
        <w:t>кробиологическую диагностику ИН</w:t>
      </w:r>
      <w:r>
        <w:rPr>
          <w:i/>
        </w:rPr>
        <w:t>ДП?</w:t>
      </w:r>
    </w:p>
    <w:p w:rsidR="00013289" w:rsidRDefault="00013289" w:rsidP="00D95DA6">
      <w:r>
        <w:t>Микробиологическое исследование обычно не рекомендуется проводить на первом этапе оказания медицинской помощи (С1-С3).</w:t>
      </w:r>
    </w:p>
    <w:p w:rsidR="0073499D" w:rsidRPr="00EA67D2" w:rsidRDefault="006841CC" w:rsidP="00D95DA6">
      <w:pPr>
        <w:rPr>
          <w:b/>
        </w:rPr>
      </w:pPr>
      <w:r w:rsidRPr="00EA67D2">
        <w:rPr>
          <w:b/>
        </w:rPr>
        <w:t>Лечение</w:t>
      </w:r>
    </w:p>
    <w:p w:rsidR="00D505D3" w:rsidRDefault="00D505D3" w:rsidP="00D95DA6">
      <w:pPr>
        <w:rPr>
          <w:i/>
        </w:rPr>
      </w:pPr>
      <w:r>
        <w:rPr>
          <w:i/>
        </w:rPr>
        <w:t>Следует ли симптоматически лечить кашель?</w:t>
      </w:r>
    </w:p>
    <w:p w:rsidR="00D505D3" w:rsidRDefault="00601287" w:rsidP="00D95DA6">
      <w:r>
        <w:t xml:space="preserve">Как </w:t>
      </w:r>
      <w:proofErr w:type="spellStart"/>
      <w:r>
        <w:t>декстрометорфан</w:t>
      </w:r>
      <w:proofErr w:type="spellEnd"/>
      <w:r>
        <w:t xml:space="preserve">, так и кодеин могут быть назначены пациентам с сухим </w:t>
      </w:r>
      <w:r w:rsidRPr="00576C03">
        <w:t>назойливым</w:t>
      </w:r>
      <w:r>
        <w:t xml:space="preserve"> кашлем (С</w:t>
      </w:r>
      <w:proofErr w:type="gramStart"/>
      <w:r>
        <w:t>1</w:t>
      </w:r>
      <w:proofErr w:type="gramEnd"/>
      <w:r>
        <w:t xml:space="preserve">). Отхаркивающие средства, </w:t>
      </w:r>
      <w:proofErr w:type="spellStart"/>
      <w:r>
        <w:t>муколитики</w:t>
      </w:r>
      <w:proofErr w:type="spellEnd"/>
      <w:r>
        <w:t xml:space="preserve">, </w:t>
      </w:r>
      <w:proofErr w:type="spellStart"/>
      <w:r>
        <w:t>анигистаминные</w:t>
      </w:r>
      <w:proofErr w:type="spellEnd"/>
      <w:r>
        <w:t xml:space="preserve"> и </w:t>
      </w:r>
      <w:proofErr w:type="spellStart"/>
      <w:r>
        <w:t>бронходилататоры</w:t>
      </w:r>
      <w:proofErr w:type="spellEnd"/>
      <w:r>
        <w:t xml:space="preserve"> не д</w:t>
      </w:r>
      <w:r w:rsidR="00576C03">
        <w:t>олжны назначаться при острой ИН</w:t>
      </w:r>
      <w:r>
        <w:t xml:space="preserve">ДП на этапе </w:t>
      </w:r>
      <w:r w:rsidRPr="00D26C59">
        <w:t>первичной</w:t>
      </w:r>
      <w:r>
        <w:t xml:space="preserve"> медицинской помощи.</w:t>
      </w:r>
    </w:p>
    <w:p w:rsidR="00E05C6A" w:rsidRDefault="00E05C6A" w:rsidP="00D95DA6">
      <w:pPr>
        <w:rPr>
          <w:i/>
        </w:rPr>
      </w:pPr>
      <w:r>
        <w:rPr>
          <w:i/>
        </w:rPr>
        <w:t xml:space="preserve">Когда следует назначать </w:t>
      </w:r>
      <w:proofErr w:type="spellStart"/>
      <w:r>
        <w:rPr>
          <w:i/>
        </w:rPr>
        <w:t>антибиотикотерапию</w:t>
      </w:r>
      <w:proofErr w:type="spellEnd"/>
      <w:r>
        <w:rPr>
          <w:i/>
        </w:rPr>
        <w:t xml:space="preserve"> </w:t>
      </w:r>
      <w:r w:rsidR="00576C03">
        <w:rPr>
          <w:i/>
        </w:rPr>
        <w:t>пациентам с ИН</w:t>
      </w:r>
      <w:r>
        <w:rPr>
          <w:i/>
        </w:rPr>
        <w:t>ДП?</w:t>
      </w:r>
    </w:p>
    <w:p w:rsidR="00E05C6A" w:rsidRPr="00FC7596" w:rsidRDefault="00746BB4" w:rsidP="00D95DA6">
      <w:proofErr w:type="spellStart"/>
      <w:r>
        <w:t>Антибиотикотерапия</w:t>
      </w:r>
      <w:proofErr w:type="spellEnd"/>
      <w:r>
        <w:t xml:space="preserve"> до</w:t>
      </w:r>
      <w:r w:rsidR="00576C03">
        <w:t>лжна назначаться пациентам с ИН</w:t>
      </w:r>
      <w:r>
        <w:t xml:space="preserve">ДП в следующих ситуациях: подозреваемая или подтверждённая пневмония (смотри </w:t>
      </w:r>
      <w:r w:rsidRPr="00746BB4">
        <w:t xml:space="preserve">«Как провести дифференциальный </w:t>
      </w:r>
      <w:r w:rsidRPr="00746BB4">
        <w:lastRenderedPageBreak/>
        <w:t>диагноз между пневмонией и другими заболеваниями дыхательных путей»</w:t>
      </w:r>
      <w:r>
        <w:t xml:space="preserve">);  определённые случаи обострения хронической </w:t>
      </w:r>
      <w:proofErr w:type="spellStart"/>
      <w:r>
        <w:t>обстуктивной</w:t>
      </w:r>
      <w:proofErr w:type="spellEnd"/>
      <w:r>
        <w:t xml:space="preserve"> болезни лёгких (ХОБЛ; смотри «Каковы показания для антибактериальной терапии обострений ХОБЛ»)</w:t>
      </w:r>
      <w:r w:rsidR="00FC7596">
        <w:t xml:space="preserve">; возраст &gt;75 лет и лихорадка; сердечная недостаточность; </w:t>
      </w:r>
      <w:proofErr w:type="spellStart"/>
      <w:r w:rsidR="00FC7596">
        <w:t>инсулин-зависимый</w:t>
      </w:r>
      <w:proofErr w:type="spellEnd"/>
      <w:r w:rsidR="00FC7596">
        <w:t xml:space="preserve"> сахарный диабет; и серьёзные неврологические заболевания (инсульт, и т.п.; С</w:t>
      </w:r>
      <w:proofErr w:type="gramStart"/>
      <w:r w:rsidR="00FC7596">
        <w:t>2</w:t>
      </w:r>
      <w:proofErr w:type="gramEnd"/>
      <w:r w:rsidR="00FC7596">
        <w:t>).</w:t>
      </w:r>
    </w:p>
    <w:p w:rsidR="006841CE" w:rsidRDefault="004C02ED" w:rsidP="00D95DA6">
      <w:pPr>
        <w:rPr>
          <w:i/>
        </w:rPr>
      </w:pPr>
      <w:r w:rsidRPr="00F63F94">
        <w:rPr>
          <w:i/>
        </w:rPr>
        <w:t xml:space="preserve"> </w:t>
      </w:r>
      <w:r w:rsidR="00F63F94" w:rsidRPr="00F63F94">
        <w:rPr>
          <w:i/>
        </w:rPr>
        <w:t>Каковы показания для антибактериальной терапии обострений ХОБЛ</w:t>
      </w:r>
      <w:r w:rsidR="00F63F94">
        <w:rPr>
          <w:i/>
        </w:rPr>
        <w:t>?</w:t>
      </w:r>
    </w:p>
    <w:p w:rsidR="00F63F94" w:rsidRDefault="000B2CFF" w:rsidP="00D95DA6">
      <w:proofErr w:type="spellStart"/>
      <w:r>
        <w:t>Антибиотикотерапия</w:t>
      </w:r>
      <w:proofErr w:type="spellEnd"/>
      <w:r>
        <w:t xml:space="preserve"> должна проводиться </w:t>
      </w:r>
      <w:r w:rsidR="00814DA6">
        <w:t>при обострении</w:t>
      </w:r>
      <w:r>
        <w:t xml:space="preserve"> ХОБЛ пациентам, имеющим следующие три симптома: усиление одышки; увеличение объёма мокроты; усиление </w:t>
      </w:r>
      <w:proofErr w:type="spellStart"/>
      <w:r w:rsidRPr="00D26C59">
        <w:t>гнойности</w:t>
      </w:r>
      <w:proofErr w:type="spellEnd"/>
      <w:r>
        <w:t xml:space="preserve"> мокроты.</w:t>
      </w:r>
      <w:r w:rsidR="009D240A">
        <w:t xml:space="preserve"> Кроме того, антибиотики должны назначаться при обострениях пациентам с ХОБЛ тяжёлого течения</w:t>
      </w:r>
      <w:r w:rsidR="007F4FCD">
        <w:t xml:space="preserve"> (С</w:t>
      </w:r>
      <w:proofErr w:type="gramStart"/>
      <w:r w:rsidR="007F4FCD">
        <w:t>1</w:t>
      </w:r>
      <w:proofErr w:type="gramEnd"/>
      <w:r w:rsidR="007F4FCD">
        <w:t>)</w:t>
      </w:r>
      <w:r w:rsidR="009D240A">
        <w:t>.</w:t>
      </w:r>
    </w:p>
    <w:p w:rsidR="007F4FCD" w:rsidRDefault="00E47D3D" w:rsidP="00D95DA6">
      <w:pPr>
        <w:rPr>
          <w:i/>
        </w:rPr>
      </w:pPr>
      <w:r>
        <w:rPr>
          <w:i/>
        </w:rPr>
        <w:t>Какие антибиотики следует использо</w:t>
      </w:r>
      <w:r w:rsidR="00814DA6">
        <w:rPr>
          <w:i/>
        </w:rPr>
        <w:t>вать для лечения пациентов с ИН</w:t>
      </w:r>
      <w:r>
        <w:rPr>
          <w:i/>
        </w:rPr>
        <w:t>ДП?</w:t>
      </w:r>
    </w:p>
    <w:p w:rsidR="007F2271" w:rsidRDefault="007F2271" w:rsidP="00D95DA6">
      <w:r>
        <w:t xml:space="preserve">Тетрациклины и </w:t>
      </w:r>
      <w:proofErr w:type="spellStart"/>
      <w:r>
        <w:t>амоксициллин</w:t>
      </w:r>
      <w:proofErr w:type="spellEnd"/>
      <w:r>
        <w:t xml:space="preserve"> являются антибиотиками выбора. В случае </w:t>
      </w:r>
      <w:proofErr w:type="spellStart"/>
      <w:r>
        <w:t>резистентности</w:t>
      </w:r>
      <w:proofErr w:type="spellEnd"/>
      <w:r>
        <w:t xml:space="preserve">  </w:t>
      </w:r>
      <w:r w:rsidR="00635406">
        <w:t xml:space="preserve">к данным препарата </w:t>
      </w:r>
      <w:r>
        <w:t xml:space="preserve">хорошей альтернативой являются </w:t>
      </w:r>
      <w:proofErr w:type="gramStart"/>
      <w:r>
        <w:t>современные</w:t>
      </w:r>
      <w:proofErr w:type="gramEnd"/>
      <w:r>
        <w:t xml:space="preserve"> </w:t>
      </w:r>
      <w:proofErr w:type="spellStart"/>
      <w:r>
        <w:t>макролиды</w:t>
      </w:r>
      <w:proofErr w:type="spellEnd"/>
      <w:r>
        <w:t xml:space="preserve">, такие как </w:t>
      </w:r>
      <w:proofErr w:type="spellStart"/>
      <w:r>
        <w:t>азитромицин</w:t>
      </w:r>
      <w:proofErr w:type="spellEnd"/>
      <w:r>
        <w:t xml:space="preserve">, </w:t>
      </w:r>
      <w:proofErr w:type="spellStart"/>
      <w:r>
        <w:t>рокситромицин</w:t>
      </w:r>
      <w:proofErr w:type="spellEnd"/>
      <w:r>
        <w:t xml:space="preserve"> или </w:t>
      </w:r>
      <w:proofErr w:type="spellStart"/>
      <w:r>
        <w:t>кларитромицин</w:t>
      </w:r>
      <w:proofErr w:type="spellEnd"/>
      <w:r>
        <w:t xml:space="preserve"> в странах, </w:t>
      </w:r>
      <w:r w:rsidR="00190F11">
        <w:t xml:space="preserve">где пневмококк обладает низкой </w:t>
      </w:r>
      <w:proofErr w:type="spellStart"/>
      <w:r w:rsidR="00190F11">
        <w:t>резистентностью</w:t>
      </w:r>
      <w:proofErr w:type="spellEnd"/>
      <w:r w:rsidR="00190F11">
        <w:t xml:space="preserve"> к </w:t>
      </w:r>
      <w:proofErr w:type="spellStart"/>
      <w:r w:rsidR="00190F11">
        <w:t>макролидам</w:t>
      </w:r>
      <w:proofErr w:type="spellEnd"/>
      <w:r w:rsidR="00190F11">
        <w:t xml:space="preserve">. Следует учитывать национальные/местные уровни </w:t>
      </w:r>
      <w:proofErr w:type="spellStart"/>
      <w:r w:rsidR="00190F11">
        <w:t>резистентности</w:t>
      </w:r>
      <w:proofErr w:type="spellEnd"/>
      <w:r w:rsidR="00190F11">
        <w:t xml:space="preserve"> при выборе определённого антибиотика. Когда бактериальная </w:t>
      </w:r>
      <w:proofErr w:type="spellStart"/>
      <w:r w:rsidR="00190F11">
        <w:t>резистентность</w:t>
      </w:r>
      <w:proofErr w:type="spellEnd"/>
      <w:r w:rsidR="00190F11">
        <w:t xml:space="preserve"> к антибиотикам первого выбора становится клинически значимой, может быть назначена терапия с использованием </w:t>
      </w:r>
      <w:proofErr w:type="spellStart"/>
      <w:r w:rsidR="00190F11">
        <w:t>левофлоксацина</w:t>
      </w:r>
      <w:proofErr w:type="spellEnd"/>
      <w:r w:rsidR="00190F11">
        <w:t xml:space="preserve"> и </w:t>
      </w:r>
      <w:proofErr w:type="spellStart"/>
      <w:r w:rsidR="00190F11">
        <w:t>моксифлоксацина</w:t>
      </w:r>
      <w:proofErr w:type="spellEnd"/>
      <w:r w:rsidR="00401AA6">
        <w:t xml:space="preserve"> (С</w:t>
      </w:r>
      <w:proofErr w:type="gramStart"/>
      <w:r w:rsidR="00401AA6">
        <w:t>4</w:t>
      </w:r>
      <w:proofErr w:type="gramEnd"/>
      <w:r w:rsidR="00401AA6">
        <w:t>; таблица 2)</w:t>
      </w:r>
      <w:r w:rsidR="00190F11">
        <w:t>.</w:t>
      </w:r>
      <w:r w:rsidR="00F2630E">
        <w:t xml:space="preserve"> </w:t>
      </w:r>
    </w:p>
    <w:p w:rsidR="009C070D" w:rsidRPr="00F73FB4" w:rsidRDefault="009C070D" w:rsidP="00D95DA6">
      <w:pPr>
        <w:rPr>
          <w:vertAlign w:val="superscript"/>
        </w:rPr>
      </w:pPr>
      <w:r>
        <w:t xml:space="preserve">Таблица 2 </w:t>
      </w:r>
      <w:r w:rsidR="00966E06">
        <w:t>Рекомендации по антибактериальной терапии ИНДП</w:t>
      </w:r>
      <w:proofErr w:type="gramStart"/>
      <w:r w:rsidR="00F73FB4">
        <w:rPr>
          <w:vertAlign w:val="superscript"/>
        </w:rPr>
        <w:t>1</w:t>
      </w:r>
      <w:proofErr w:type="gramEnd"/>
    </w:p>
    <w:tbl>
      <w:tblPr>
        <w:tblStyle w:val="a3"/>
        <w:tblW w:w="0" w:type="auto"/>
        <w:tblLook w:val="04A0"/>
      </w:tblPr>
      <w:tblGrid>
        <w:gridCol w:w="1096"/>
        <w:gridCol w:w="1340"/>
        <w:gridCol w:w="1538"/>
        <w:gridCol w:w="2999"/>
        <w:gridCol w:w="2598"/>
      </w:tblGrid>
      <w:tr w:rsidR="000A46E5" w:rsidTr="00A970B6">
        <w:tc>
          <w:tcPr>
            <w:tcW w:w="1068" w:type="dxa"/>
            <w:vMerge w:val="restart"/>
          </w:tcPr>
          <w:p w:rsidR="009C070D" w:rsidRPr="001D5E77" w:rsidRDefault="004D4AD9" w:rsidP="00D95DA6">
            <w:pPr>
              <w:rPr>
                <w:b/>
              </w:rPr>
            </w:pPr>
            <w:r w:rsidRPr="001D5E77">
              <w:rPr>
                <w:rFonts w:cs="AdvPECF815"/>
                <w:b/>
              </w:rPr>
              <w:t>Параметры</w:t>
            </w:r>
          </w:p>
        </w:tc>
        <w:tc>
          <w:tcPr>
            <w:tcW w:w="1577" w:type="dxa"/>
            <w:vMerge w:val="restart"/>
          </w:tcPr>
          <w:p w:rsidR="009C070D" w:rsidRPr="00F73FB4" w:rsidRDefault="009C070D" w:rsidP="00D95DA6">
            <w:pPr>
              <w:rPr>
                <w:b/>
                <w:vertAlign w:val="superscript"/>
              </w:rPr>
            </w:pPr>
            <w:r>
              <w:rPr>
                <w:b/>
              </w:rPr>
              <w:t>Тип ИНДП</w:t>
            </w:r>
          </w:p>
        </w:tc>
        <w:tc>
          <w:tcPr>
            <w:tcW w:w="1817" w:type="dxa"/>
            <w:vMerge w:val="restart"/>
          </w:tcPr>
          <w:p w:rsidR="009C070D" w:rsidRPr="009C070D" w:rsidRDefault="009C070D" w:rsidP="00D95DA6">
            <w:pPr>
              <w:rPr>
                <w:b/>
              </w:rPr>
            </w:pPr>
            <w:r>
              <w:rPr>
                <w:b/>
              </w:rPr>
              <w:t>Тяжесть/подгруппа</w:t>
            </w:r>
          </w:p>
        </w:tc>
        <w:tc>
          <w:tcPr>
            <w:tcW w:w="5109" w:type="dxa"/>
            <w:gridSpan w:val="2"/>
          </w:tcPr>
          <w:p w:rsidR="009C070D" w:rsidRPr="009C070D" w:rsidRDefault="009C070D" w:rsidP="00D95DA6">
            <w:pPr>
              <w:rPr>
                <w:b/>
              </w:rPr>
            </w:pPr>
            <w:r>
              <w:rPr>
                <w:b/>
              </w:rPr>
              <w:t>Лечение</w:t>
            </w:r>
          </w:p>
        </w:tc>
      </w:tr>
      <w:tr w:rsidR="00405AEC" w:rsidTr="00A970B6">
        <w:tc>
          <w:tcPr>
            <w:tcW w:w="1068" w:type="dxa"/>
            <w:vMerge/>
          </w:tcPr>
          <w:p w:rsidR="009C070D" w:rsidRDefault="009C070D" w:rsidP="00D95DA6"/>
        </w:tc>
        <w:tc>
          <w:tcPr>
            <w:tcW w:w="1577" w:type="dxa"/>
            <w:vMerge/>
          </w:tcPr>
          <w:p w:rsidR="009C070D" w:rsidRDefault="009C070D" w:rsidP="00D95DA6"/>
        </w:tc>
        <w:tc>
          <w:tcPr>
            <w:tcW w:w="1817" w:type="dxa"/>
            <w:vMerge/>
          </w:tcPr>
          <w:p w:rsidR="009C070D" w:rsidRDefault="009C070D" w:rsidP="00D95DA6"/>
        </w:tc>
        <w:tc>
          <w:tcPr>
            <w:tcW w:w="3526" w:type="dxa"/>
          </w:tcPr>
          <w:p w:rsidR="009C070D" w:rsidRPr="009C070D" w:rsidRDefault="009C070D" w:rsidP="00D95DA6">
            <w:pPr>
              <w:rPr>
                <w:b/>
              </w:rPr>
            </w:pPr>
            <w:r>
              <w:rPr>
                <w:b/>
              </w:rPr>
              <w:t>Препараты выбора</w:t>
            </w:r>
          </w:p>
        </w:tc>
        <w:tc>
          <w:tcPr>
            <w:tcW w:w="1583" w:type="dxa"/>
          </w:tcPr>
          <w:p w:rsidR="009C070D" w:rsidRPr="00F73FB4" w:rsidRDefault="009C070D" w:rsidP="00D95DA6">
            <w:pPr>
              <w:rPr>
                <w:b/>
                <w:vertAlign w:val="superscript"/>
              </w:rPr>
            </w:pPr>
            <w:r>
              <w:rPr>
                <w:b/>
              </w:rPr>
              <w:t>Альтернативные препараты</w:t>
            </w:r>
            <w:proofErr w:type="gramStart"/>
            <w:r w:rsidR="00F73FB4">
              <w:rPr>
                <w:b/>
                <w:vertAlign w:val="superscript"/>
              </w:rPr>
              <w:t>2</w:t>
            </w:r>
            <w:proofErr w:type="gramEnd"/>
          </w:p>
        </w:tc>
      </w:tr>
      <w:tr w:rsidR="00405AEC" w:rsidTr="00A970B6">
        <w:tc>
          <w:tcPr>
            <w:tcW w:w="1068" w:type="dxa"/>
          </w:tcPr>
          <w:p w:rsidR="009C070D" w:rsidRDefault="00517991" w:rsidP="00D95DA6">
            <w:r>
              <w:t>Амбулатория</w:t>
            </w:r>
          </w:p>
        </w:tc>
        <w:tc>
          <w:tcPr>
            <w:tcW w:w="1577" w:type="dxa"/>
          </w:tcPr>
          <w:p w:rsidR="009C070D" w:rsidRPr="00F73FB4" w:rsidRDefault="008226AF" w:rsidP="00D95DA6">
            <w:pPr>
              <w:rPr>
                <w:vertAlign w:val="superscript"/>
              </w:rPr>
            </w:pPr>
            <w:r>
              <w:t>ИНДП</w:t>
            </w:r>
            <w:r w:rsidR="00F73FB4">
              <w:rPr>
                <w:vertAlign w:val="superscript"/>
              </w:rPr>
              <w:t>3</w:t>
            </w:r>
          </w:p>
        </w:tc>
        <w:tc>
          <w:tcPr>
            <w:tcW w:w="1817" w:type="dxa"/>
          </w:tcPr>
          <w:p w:rsidR="009C070D" w:rsidRDefault="008226AF" w:rsidP="00D95DA6">
            <w:r>
              <w:t>все</w:t>
            </w:r>
          </w:p>
        </w:tc>
        <w:tc>
          <w:tcPr>
            <w:tcW w:w="3526" w:type="dxa"/>
          </w:tcPr>
          <w:p w:rsidR="009C070D" w:rsidRPr="00F73FB4" w:rsidRDefault="008226AF" w:rsidP="00D95DA6">
            <w:pPr>
              <w:rPr>
                <w:vertAlign w:val="superscript"/>
              </w:rPr>
            </w:pPr>
            <w:proofErr w:type="spellStart"/>
            <w:r>
              <w:t>Амоксициллин</w:t>
            </w:r>
            <w:proofErr w:type="spellEnd"/>
            <w:r>
              <w:t xml:space="preserve"> или тетрациклины</w:t>
            </w:r>
            <w:proofErr w:type="gramStart"/>
            <w:r w:rsidR="00F73FB4">
              <w:rPr>
                <w:vertAlign w:val="superscript"/>
              </w:rPr>
              <w:t>4</w:t>
            </w:r>
            <w:proofErr w:type="gramEnd"/>
          </w:p>
        </w:tc>
        <w:tc>
          <w:tcPr>
            <w:tcW w:w="1583" w:type="dxa"/>
          </w:tcPr>
          <w:p w:rsidR="009C070D" w:rsidRDefault="00CB3406" w:rsidP="00D95DA6">
            <w:proofErr w:type="spellStart"/>
            <w:r>
              <w:t>Ко-амоксиклав</w:t>
            </w:r>
            <w:proofErr w:type="spellEnd"/>
            <w:r>
              <w:t>, макролиды</w:t>
            </w:r>
            <w:r w:rsidR="00F73FB4">
              <w:rPr>
                <w:vertAlign w:val="superscript"/>
              </w:rPr>
              <w:t>5</w:t>
            </w:r>
            <w:r>
              <w:t xml:space="preserve">, </w:t>
            </w:r>
            <w:proofErr w:type="spellStart"/>
            <w:r>
              <w:t>левофлоксацин</w:t>
            </w:r>
            <w:proofErr w:type="spellEnd"/>
            <w:r>
              <w:t xml:space="preserve">, </w:t>
            </w:r>
            <w:proofErr w:type="spellStart"/>
            <w:r>
              <w:t>моксифлоксацин</w:t>
            </w:r>
            <w:proofErr w:type="spellEnd"/>
          </w:p>
        </w:tc>
      </w:tr>
      <w:tr w:rsidR="00405AEC" w:rsidTr="00A970B6">
        <w:tc>
          <w:tcPr>
            <w:tcW w:w="1068" w:type="dxa"/>
          </w:tcPr>
          <w:p w:rsidR="009C070D" w:rsidRDefault="008226AF" w:rsidP="00D95DA6">
            <w:r>
              <w:t>Стационар</w:t>
            </w:r>
          </w:p>
        </w:tc>
        <w:tc>
          <w:tcPr>
            <w:tcW w:w="1577" w:type="dxa"/>
          </w:tcPr>
          <w:p w:rsidR="009C070D" w:rsidRPr="00F73FB4" w:rsidRDefault="008226AF" w:rsidP="00D95DA6">
            <w:pPr>
              <w:rPr>
                <w:vertAlign w:val="superscript"/>
              </w:rPr>
            </w:pPr>
            <w:r>
              <w:t>ХОБЛ</w:t>
            </w:r>
            <w:r w:rsidR="00F73FB4">
              <w:rPr>
                <w:vertAlign w:val="superscript"/>
              </w:rPr>
              <w:t>3</w:t>
            </w:r>
          </w:p>
        </w:tc>
        <w:tc>
          <w:tcPr>
            <w:tcW w:w="1817" w:type="dxa"/>
          </w:tcPr>
          <w:p w:rsidR="009C070D" w:rsidRDefault="008226AF" w:rsidP="00D95DA6">
            <w:r>
              <w:t>Лёгкой степени</w:t>
            </w:r>
          </w:p>
        </w:tc>
        <w:tc>
          <w:tcPr>
            <w:tcW w:w="3526" w:type="dxa"/>
          </w:tcPr>
          <w:p w:rsidR="009C070D" w:rsidRPr="00F73FB4" w:rsidRDefault="008226AF" w:rsidP="00D95DA6">
            <w:pPr>
              <w:rPr>
                <w:vertAlign w:val="superscript"/>
              </w:rPr>
            </w:pPr>
            <w:proofErr w:type="spellStart"/>
            <w:r>
              <w:t>Амоксициллин</w:t>
            </w:r>
            <w:proofErr w:type="spellEnd"/>
            <w:r>
              <w:t xml:space="preserve"> или тетрациклины</w:t>
            </w:r>
            <w:proofErr w:type="gramStart"/>
            <w:r w:rsidR="00F73FB4">
              <w:rPr>
                <w:vertAlign w:val="superscript"/>
              </w:rPr>
              <w:t>4</w:t>
            </w:r>
            <w:proofErr w:type="gramEnd"/>
          </w:p>
        </w:tc>
        <w:tc>
          <w:tcPr>
            <w:tcW w:w="1583" w:type="dxa"/>
          </w:tcPr>
          <w:p w:rsidR="009C070D" w:rsidRDefault="00CB3406" w:rsidP="00D95DA6">
            <w:proofErr w:type="spellStart"/>
            <w:r>
              <w:t>Ко-амоксиклав</w:t>
            </w:r>
            <w:proofErr w:type="spellEnd"/>
            <w:r>
              <w:t>, макролиды</w:t>
            </w:r>
            <w:r w:rsidR="00F73FB4">
              <w:rPr>
                <w:vertAlign w:val="superscript"/>
              </w:rPr>
              <w:t>5</w:t>
            </w:r>
            <w:r>
              <w:t xml:space="preserve">, </w:t>
            </w:r>
            <w:proofErr w:type="spellStart"/>
            <w:r>
              <w:t>левофлоксацин</w:t>
            </w:r>
            <w:proofErr w:type="spellEnd"/>
            <w:r>
              <w:t xml:space="preserve">, </w:t>
            </w:r>
            <w:proofErr w:type="spellStart"/>
            <w:r>
              <w:t>моксифлоксацин</w:t>
            </w:r>
            <w:proofErr w:type="spellEnd"/>
          </w:p>
        </w:tc>
      </w:tr>
      <w:tr w:rsidR="00F73FB4" w:rsidTr="00A970B6">
        <w:tc>
          <w:tcPr>
            <w:tcW w:w="1068" w:type="dxa"/>
          </w:tcPr>
          <w:p w:rsidR="00CB3406" w:rsidRDefault="00CB3406" w:rsidP="00D95DA6">
            <w:r>
              <w:t>Стационар</w:t>
            </w:r>
          </w:p>
        </w:tc>
        <w:tc>
          <w:tcPr>
            <w:tcW w:w="1577" w:type="dxa"/>
          </w:tcPr>
          <w:p w:rsidR="00CB3406" w:rsidRDefault="00CB3406" w:rsidP="00D95DA6">
            <w:r>
              <w:t>ХОБЛ</w:t>
            </w:r>
          </w:p>
        </w:tc>
        <w:tc>
          <w:tcPr>
            <w:tcW w:w="1817" w:type="dxa"/>
          </w:tcPr>
          <w:p w:rsidR="00CB3406" w:rsidRDefault="00CB3406" w:rsidP="00D95DA6">
            <w:r>
              <w:t>Средней/тяжёлой степени</w:t>
            </w:r>
          </w:p>
        </w:tc>
        <w:tc>
          <w:tcPr>
            <w:tcW w:w="3526" w:type="dxa"/>
          </w:tcPr>
          <w:p w:rsidR="00CB3406" w:rsidRDefault="00CB3406" w:rsidP="00D95DA6">
            <w:proofErr w:type="spellStart"/>
            <w:r>
              <w:t>Ко-амоксиклав</w:t>
            </w:r>
            <w:proofErr w:type="spellEnd"/>
          </w:p>
        </w:tc>
        <w:tc>
          <w:tcPr>
            <w:tcW w:w="1583" w:type="dxa"/>
            <w:vMerge w:val="restart"/>
          </w:tcPr>
          <w:p w:rsidR="00CB3406" w:rsidRDefault="00405AEC" w:rsidP="00D95DA6">
            <w:proofErr w:type="spellStart"/>
            <w:r>
              <w:t>Л</w:t>
            </w:r>
            <w:r w:rsidR="00CB3406">
              <w:t>евофлоксацин</w:t>
            </w:r>
            <w:proofErr w:type="spellEnd"/>
            <w:r w:rsidR="00CB3406">
              <w:t xml:space="preserve">, </w:t>
            </w:r>
            <w:proofErr w:type="spellStart"/>
            <w:r w:rsidR="00CB3406">
              <w:t>моксифлоксацин</w:t>
            </w:r>
            <w:proofErr w:type="spellEnd"/>
          </w:p>
        </w:tc>
      </w:tr>
      <w:tr w:rsidR="00F73FB4" w:rsidTr="00A970B6">
        <w:tc>
          <w:tcPr>
            <w:tcW w:w="1068" w:type="dxa"/>
          </w:tcPr>
          <w:p w:rsidR="00CB3406" w:rsidRDefault="00CB3406" w:rsidP="00D95DA6">
            <w:r>
              <w:t>Стационар</w:t>
            </w:r>
          </w:p>
        </w:tc>
        <w:tc>
          <w:tcPr>
            <w:tcW w:w="1577" w:type="dxa"/>
          </w:tcPr>
          <w:p w:rsidR="00CB3406" w:rsidRDefault="00CB3406" w:rsidP="00D95DA6">
            <w:r>
              <w:t>ХОБЛ</w:t>
            </w:r>
          </w:p>
        </w:tc>
        <w:tc>
          <w:tcPr>
            <w:tcW w:w="1817" w:type="dxa"/>
          </w:tcPr>
          <w:p w:rsidR="00CB3406" w:rsidRDefault="00CB3406" w:rsidP="004D4AD9">
            <w:r w:rsidRPr="004D4AD9">
              <w:t xml:space="preserve">Плюс факторы риска </w:t>
            </w:r>
            <w:r w:rsidR="004D4AD9" w:rsidRPr="004D4AD9">
              <w:t xml:space="preserve">инфицирования </w:t>
            </w:r>
            <w:proofErr w:type="spellStart"/>
            <w:r w:rsidRPr="004D4AD9">
              <w:rPr>
                <w:rFonts w:cs="AdvPECF812"/>
              </w:rPr>
              <w:t>P</w:t>
            </w:r>
            <w:r w:rsidR="004D4AD9" w:rsidRPr="004D4AD9">
              <w:rPr>
                <w:rFonts w:cs="AdvPECF812"/>
              </w:rPr>
              <w:t>.</w:t>
            </w:r>
            <w:r w:rsidRPr="004D4AD9">
              <w:rPr>
                <w:rFonts w:cs="AdvPECF812"/>
              </w:rPr>
              <w:t>aeruginosa</w:t>
            </w:r>
            <w:proofErr w:type="spellEnd"/>
          </w:p>
        </w:tc>
        <w:tc>
          <w:tcPr>
            <w:tcW w:w="3526" w:type="dxa"/>
          </w:tcPr>
          <w:p w:rsidR="00CB3406" w:rsidRDefault="00CB3406" w:rsidP="00D95DA6">
            <w:proofErr w:type="spellStart"/>
            <w:r>
              <w:t>Ципрофлоксацин</w:t>
            </w:r>
            <w:proofErr w:type="spellEnd"/>
          </w:p>
        </w:tc>
        <w:tc>
          <w:tcPr>
            <w:tcW w:w="1583" w:type="dxa"/>
            <w:vMerge/>
          </w:tcPr>
          <w:p w:rsidR="00CB3406" w:rsidRDefault="00CB3406" w:rsidP="00D95DA6"/>
        </w:tc>
      </w:tr>
      <w:tr w:rsidR="00405AEC" w:rsidTr="00A970B6">
        <w:tc>
          <w:tcPr>
            <w:tcW w:w="1068" w:type="dxa"/>
          </w:tcPr>
          <w:p w:rsidR="009C070D" w:rsidRDefault="008226AF" w:rsidP="00D95DA6">
            <w:r>
              <w:t>Стационар</w:t>
            </w:r>
          </w:p>
        </w:tc>
        <w:tc>
          <w:tcPr>
            <w:tcW w:w="1577" w:type="dxa"/>
          </w:tcPr>
          <w:p w:rsidR="009C070D" w:rsidRDefault="008226AF" w:rsidP="00D95DA6">
            <w:proofErr w:type="spellStart"/>
            <w:r>
              <w:t>Внегоспитальная</w:t>
            </w:r>
            <w:proofErr w:type="spellEnd"/>
            <w:r>
              <w:t xml:space="preserve"> пневмония</w:t>
            </w:r>
          </w:p>
        </w:tc>
        <w:tc>
          <w:tcPr>
            <w:tcW w:w="1817" w:type="dxa"/>
          </w:tcPr>
          <w:p w:rsidR="009C070D" w:rsidRDefault="004D4AD9" w:rsidP="00D95DA6">
            <w:r>
              <w:t>Не</w:t>
            </w:r>
            <w:r w:rsidR="008226AF">
              <w:t>тяжёлая</w:t>
            </w:r>
          </w:p>
        </w:tc>
        <w:tc>
          <w:tcPr>
            <w:tcW w:w="3526" w:type="dxa"/>
          </w:tcPr>
          <w:p w:rsidR="009C070D" w:rsidRDefault="00A970B6" w:rsidP="00D95DA6">
            <w:r>
              <w:t xml:space="preserve">Пенициллин </w:t>
            </w:r>
            <w:r>
              <w:rPr>
                <w:lang w:val="en-US"/>
              </w:rPr>
              <w:t>G</w:t>
            </w:r>
            <w:r w:rsidRPr="00A970B6">
              <w:t>±</w:t>
            </w:r>
            <w:r>
              <w:t>макролиды</w:t>
            </w:r>
            <w:r w:rsidR="00F73FB4">
              <w:rPr>
                <w:vertAlign w:val="superscript"/>
              </w:rPr>
              <w:t>5</w:t>
            </w:r>
            <w:r>
              <w:t>;</w:t>
            </w:r>
          </w:p>
          <w:p w:rsidR="00A970B6" w:rsidRPr="00A970B6" w:rsidRDefault="00A970B6" w:rsidP="00D95DA6">
            <w:r>
              <w:t>аминопенициллин</w:t>
            </w:r>
            <w:r w:rsidRPr="00A970B6">
              <w:t>±</w:t>
            </w:r>
            <w:r>
              <w:t>макролиды</w:t>
            </w:r>
            <w:r w:rsidR="00F73FB4">
              <w:rPr>
                <w:vertAlign w:val="superscript"/>
              </w:rPr>
              <w:t>5</w:t>
            </w:r>
            <w:r>
              <w:t>; ко-амоксиклав</w:t>
            </w:r>
            <w:r w:rsidRPr="00A970B6">
              <w:t>±</w:t>
            </w:r>
            <w:r>
              <w:t>макролиды</w:t>
            </w:r>
            <w:r w:rsidR="00F73FB4">
              <w:rPr>
                <w:vertAlign w:val="superscript"/>
              </w:rPr>
              <w:t>5</w:t>
            </w:r>
            <w:r>
              <w:t>;цефалоспорины 2го или 3го поколения</w:t>
            </w:r>
            <w:r w:rsidRPr="00A970B6">
              <w:t>±</w:t>
            </w:r>
            <w:r>
              <w:t>макролиды</w:t>
            </w:r>
            <w:r w:rsidR="00F73FB4">
              <w:rPr>
                <w:vertAlign w:val="superscript"/>
              </w:rPr>
              <w:t>5</w:t>
            </w:r>
            <w:r>
              <w:t>;</w:t>
            </w:r>
          </w:p>
        </w:tc>
        <w:tc>
          <w:tcPr>
            <w:tcW w:w="1583" w:type="dxa"/>
          </w:tcPr>
          <w:p w:rsidR="009C070D" w:rsidRDefault="00405AEC" w:rsidP="00D95DA6">
            <w:proofErr w:type="spellStart"/>
            <w:r>
              <w:t>Левофлоксацин</w:t>
            </w:r>
            <w:proofErr w:type="spellEnd"/>
            <w:r>
              <w:t xml:space="preserve">, </w:t>
            </w:r>
            <w:proofErr w:type="spellStart"/>
            <w:r>
              <w:t>моксифлоксацин</w:t>
            </w:r>
            <w:proofErr w:type="spellEnd"/>
          </w:p>
        </w:tc>
      </w:tr>
      <w:tr w:rsidR="00405AEC" w:rsidTr="00A970B6">
        <w:tc>
          <w:tcPr>
            <w:tcW w:w="1068" w:type="dxa"/>
          </w:tcPr>
          <w:p w:rsidR="009C070D" w:rsidRDefault="008226AF" w:rsidP="00D95DA6">
            <w:r>
              <w:t>Стационар</w:t>
            </w:r>
          </w:p>
        </w:tc>
        <w:tc>
          <w:tcPr>
            <w:tcW w:w="1577" w:type="dxa"/>
          </w:tcPr>
          <w:p w:rsidR="009C070D" w:rsidRDefault="008226AF" w:rsidP="00D95DA6">
            <w:proofErr w:type="spellStart"/>
            <w:r>
              <w:t>Внегоспитальная</w:t>
            </w:r>
            <w:proofErr w:type="spellEnd"/>
            <w:r>
              <w:t xml:space="preserve"> </w:t>
            </w:r>
            <w:r>
              <w:lastRenderedPageBreak/>
              <w:t>пневмония</w:t>
            </w:r>
          </w:p>
        </w:tc>
        <w:tc>
          <w:tcPr>
            <w:tcW w:w="1817" w:type="dxa"/>
          </w:tcPr>
          <w:p w:rsidR="009C070D" w:rsidRDefault="008226AF" w:rsidP="00D95DA6">
            <w:r>
              <w:lastRenderedPageBreak/>
              <w:t>Тяжёлая</w:t>
            </w:r>
          </w:p>
        </w:tc>
        <w:tc>
          <w:tcPr>
            <w:tcW w:w="3526" w:type="dxa"/>
          </w:tcPr>
          <w:p w:rsidR="009C070D" w:rsidRDefault="00A970B6" w:rsidP="00D95DA6">
            <w:proofErr w:type="spellStart"/>
            <w:r>
              <w:t>Цефалоспорины</w:t>
            </w:r>
            <w:proofErr w:type="spellEnd"/>
            <w:r>
              <w:t xml:space="preserve"> 3го поколения</w:t>
            </w:r>
            <w:r>
              <w:rPr>
                <w:lang w:val="en-US"/>
              </w:rPr>
              <w:t>±</w:t>
            </w:r>
            <w:r>
              <w:t>макролиды</w:t>
            </w:r>
            <w:r w:rsidR="00F73FB4">
              <w:rPr>
                <w:vertAlign w:val="superscript"/>
              </w:rPr>
              <w:t>5</w:t>
            </w:r>
            <w:r>
              <w:t>;</w:t>
            </w:r>
          </w:p>
        </w:tc>
        <w:tc>
          <w:tcPr>
            <w:tcW w:w="1583" w:type="dxa"/>
          </w:tcPr>
          <w:p w:rsidR="009C070D" w:rsidRDefault="00405AEC" w:rsidP="00D95DA6">
            <w:proofErr w:type="spellStart"/>
            <w:r>
              <w:t>Цефалоспорины</w:t>
            </w:r>
            <w:proofErr w:type="spellEnd"/>
            <w:r>
              <w:t xml:space="preserve"> 3го </w:t>
            </w:r>
            <w:proofErr w:type="spellStart"/>
            <w:r>
              <w:t>поколения+</w:t>
            </w:r>
            <w:proofErr w:type="spellEnd"/>
            <w:r>
              <w:t>(</w:t>
            </w:r>
            <w:proofErr w:type="spellStart"/>
            <w:r>
              <w:t>левофлокса</w:t>
            </w:r>
            <w:r>
              <w:lastRenderedPageBreak/>
              <w:t>цин</w:t>
            </w:r>
            <w:proofErr w:type="spellEnd"/>
            <w:r>
              <w:t xml:space="preserve"> или </w:t>
            </w:r>
            <w:proofErr w:type="spellStart"/>
            <w:r>
              <w:t>моксифлоксацин</w:t>
            </w:r>
            <w:proofErr w:type="spellEnd"/>
            <w:r>
              <w:t>)</w:t>
            </w:r>
          </w:p>
        </w:tc>
      </w:tr>
      <w:tr w:rsidR="00405AEC" w:rsidTr="00A970B6">
        <w:tc>
          <w:tcPr>
            <w:tcW w:w="1068" w:type="dxa"/>
          </w:tcPr>
          <w:p w:rsidR="009C070D" w:rsidRDefault="008226AF" w:rsidP="00D95DA6">
            <w:r>
              <w:lastRenderedPageBreak/>
              <w:t>Стационар</w:t>
            </w:r>
          </w:p>
        </w:tc>
        <w:tc>
          <w:tcPr>
            <w:tcW w:w="1577" w:type="dxa"/>
          </w:tcPr>
          <w:p w:rsidR="009C070D" w:rsidRDefault="008226AF" w:rsidP="00D95DA6">
            <w:proofErr w:type="spellStart"/>
            <w:r>
              <w:t>Внегоспитальная</w:t>
            </w:r>
            <w:proofErr w:type="spellEnd"/>
            <w:r>
              <w:t xml:space="preserve"> пневмония</w:t>
            </w:r>
          </w:p>
        </w:tc>
        <w:tc>
          <w:tcPr>
            <w:tcW w:w="1817" w:type="dxa"/>
          </w:tcPr>
          <w:p w:rsidR="009C070D" w:rsidRDefault="008226AF" w:rsidP="008226AF">
            <w:r>
              <w:t>Тяжёлая плюс факторы риска</w:t>
            </w:r>
            <w:r w:rsidRPr="008226AF">
              <w:t xml:space="preserve"> </w:t>
            </w:r>
            <w:proofErr w:type="spellStart"/>
            <w:r>
              <w:rPr>
                <w:rFonts w:cs="AdvPECF812"/>
              </w:rPr>
              <w:t>P.</w:t>
            </w:r>
            <w:r w:rsidRPr="008226AF">
              <w:rPr>
                <w:rFonts w:cs="AdvPECF812"/>
              </w:rPr>
              <w:t>aeruginosa</w:t>
            </w:r>
            <w:proofErr w:type="spellEnd"/>
          </w:p>
        </w:tc>
        <w:tc>
          <w:tcPr>
            <w:tcW w:w="3526" w:type="dxa"/>
          </w:tcPr>
          <w:p w:rsidR="009C070D" w:rsidRDefault="00A970B6" w:rsidP="00D95DA6">
            <w:proofErr w:type="spellStart"/>
            <w:r>
              <w:t>Антипсевдомонадные</w:t>
            </w:r>
            <w:proofErr w:type="spellEnd"/>
            <w:r>
              <w:t xml:space="preserve"> </w:t>
            </w:r>
            <w:proofErr w:type="spellStart"/>
            <w:r>
              <w:t>цефалоспорины+ципрофлоксацин</w:t>
            </w:r>
            <w:proofErr w:type="spellEnd"/>
          </w:p>
        </w:tc>
        <w:tc>
          <w:tcPr>
            <w:tcW w:w="1583" w:type="dxa"/>
          </w:tcPr>
          <w:p w:rsidR="009C070D" w:rsidRDefault="000A46E5" w:rsidP="00D95DA6">
            <w:proofErr w:type="spellStart"/>
            <w:r>
              <w:t>А</w:t>
            </w:r>
            <w:r w:rsidRPr="000A46E5">
              <w:t>цилуреидопенициллин</w:t>
            </w:r>
            <w:proofErr w:type="spellEnd"/>
            <w:r>
              <w:t xml:space="preserve">/ингибитор </w:t>
            </w:r>
            <w:proofErr w:type="gramStart"/>
            <w:r>
              <w:t>β-</w:t>
            </w:r>
            <w:proofErr w:type="gramEnd"/>
            <w:r>
              <w:t>лактамаз+ципрофлоксацин или</w:t>
            </w:r>
          </w:p>
          <w:p w:rsidR="000A46E5" w:rsidRDefault="000A46E5" w:rsidP="00D95DA6">
            <w:proofErr w:type="spellStart"/>
            <w:r>
              <w:t>Карбапенем+ципрофлоксацин</w:t>
            </w:r>
            <w:proofErr w:type="spellEnd"/>
          </w:p>
        </w:tc>
      </w:tr>
      <w:tr w:rsidR="00A970B6" w:rsidTr="00A970B6">
        <w:tc>
          <w:tcPr>
            <w:tcW w:w="1068" w:type="dxa"/>
            <w:vMerge w:val="restart"/>
          </w:tcPr>
          <w:p w:rsidR="00A970B6" w:rsidRDefault="00A970B6" w:rsidP="00D95DA6">
            <w:r>
              <w:t>Стационар</w:t>
            </w:r>
          </w:p>
        </w:tc>
        <w:tc>
          <w:tcPr>
            <w:tcW w:w="1577" w:type="dxa"/>
            <w:vMerge w:val="restart"/>
          </w:tcPr>
          <w:p w:rsidR="00A970B6" w:rsidRDefault="00A970B6" w:rsidP="00D95DA6">
            <w:proofErr w:type="spellStart"/>
            <w:r>
              <w:t>Бронхоэктазы</w:t>
            </w:r>
            <w:proofErr w:type="spellEnd"/>
          </w:p>
        </w:tc>
        <w:tc>
          <w:tcPr>
            <w:tcW w:w="1817" w:type="dxa"/>
          </w:tcPr>
          <w:p w:rsidR="00A970B6" w:rsidRDefault="00A970B6" w:rsidP="008226AF">
            <w:r>
              <w:t xml:space="preserve">Нет факторов риска </w:t>
            </w:r>
            <w:proofErr w:type="spellStart"/>
            <w:r>
              <w:rPr>
                <w:rFonts w:cs="AdvPECF812"/>
              </w:rPr>
              <w:t>P.</w:t>
            </w:r>
            <w:r w:rsidRPr="008226AF">
              <w:rPr>
                <w:rFonts w:cs="AdvPECF812"/>
              </w:rPr>
              <w:t>aeruginosa</w:t>
            </w:r>
            <w:proofErr w:type="spellEnd"/>
          </w:p>
        </w:tc>
        <w:tc>
          <w:tcPr>
            <w:tcW w:w="5109" w:type="dxa"/>
            <w:gridSpan w:val="2"/>
          </w:tcPr>
          <w:p w:rsidR="00A970B6" w:rsidRDefault="00A970B6" w:rsidP="00D95DA6">
            <w:proofErr w:type="spellStart"/>
            <w:r>
              <w:t>Амоксициллин</w:t>
            </w:r>
            <w:proofErr w:type="spellEnd"/>
            <w:r>
              <w:t xml:space="preserve"> </w:t>
            </w:r>
            <w:proofErr w:type="spellStart"/>
            <w:r>
              <w:t>клавуланат</w:t>
            </w:r>
            <w:proofErr w:type="spellEnd"/>
            <w:r>
              <w:t xml:space="preserve">, </w:t>
            </w:r>
            <w:proofErr w:type="spellStart"/>
            <w:r>
              <w:t>левофлоксацин</w:t>
            </w:r>
            <w:proofErr w:type="spellEnd"/>
            <w:r>
              <w:t xml:space="preserve">, </w:t>
            </w:r>
            <w:proofErr w:type="spellStart"/>
            <w:r>
              <w:t>моксифлоксацин</w:t>
            </w:r>
            <w:proofErr w:type="spellEnd"/>
          </w:p>
        </w:tc>
      </w:tr>
      <w:tr w:rsidR="00A970B6" w:rsidTr="00001597">
        <w:tc>
          <w:tcPr>
            <w:tcW w:w="1068" w:type="dxa"/>
            <w:vMerge/>
          </w:tcPr>
          <w:p w:rsidR="00A970B6" w:rsidRDefault="00A970B6" w:rsidP="00D95DA6"/>
        </w:tc>
        <w:tc>
          <w:tcPr>
            <w:tcW w:w="1577" w:type="dxa"/>
            <w:vMerge/>
          </w:tcPr>
          <w:p w:rsidR="00A970B6" w:rsidRDefault="00A970B6" w:rsidP="00D95DA6"/>
        </w:tc>
        <w:tc>
          <w:tcPr>
            <w:tcW w:w="1817" w:type="dxa"/>
          </w:tcPr>
          <w:p w:rsidR="00A970B6" w:rsidRDefault="00A970B6" w:rsidP="00D95DA6">
            <w:r>
              <w:t>Есть факторы риска</w:t>
            </w:r>
            <w:r w:rsidRPr="008226AF">
              <w:t xml:space="preserve"> </w:t>
            </w:r>
            <w:proofErr w:type="spellStart"/>
            <w:r>
              <w:rPr>
                <w:rFonts w:cs="AdvPECF812"/>
              </w:rPr>
              <w:t>P.</w:t>
            </w:r>
            <w:r w:rsidRPr="008226AF">
              <w:rPr>
                <w:rFonts w:cs="AdvPECF812"/>
              </w:rPr>
              <w:t>aeruginosa</w:t>
            </w:r>
            <w:proofErr w:type="spellEnd"/>
          </w:p>
        </w:tc>
        <w:tc>
          <w:tcPr>
            <w:tcW w:w="5109" w:type="dxa"/>
            <w:gridSpan w:val="2"/>
          </w:tcPr>
          <w:p w:rsidR="00A970B6" w:rsidRDefault="00A970B6" w:rsidP="00D95DA6">
            <w:proofErr w:type="spellStart"/>
            <w:r>
              <w:t>Ципрофлоксацин</w:t>
            </w:r>
            <w:proofErr w:type="spellEnd"/>
          </w:p>
        </w:tc>
      </w:tr>
    </w:tbl>
    <w:p w:rsidR="009C070D" w:rsidRDefault="005E5238" w:rsidP="00D95DA6">
      <w:pPr>
        <w:rPr>
          <w:rFonts w:cs="AdvPECF811"/>
        </w:rPr>
      </w:pPr>
      <w:r>
        <w:t xml:space="preserve"> ИНДП: инфекции нижних отделов дыхательных путей; ХОБЛ: хроническая </w:t>
      </w:r>
      <w:proofErr w:type="spellStart"/>
      <w:r>
        <w:t>обструктивная</w:t>
      </w:r>
      <w:proofErr w:type="spellEnd"/>
      <w:r>
        <w:t xml:space="preserve"> болезнь лёгких</w:t>
      </w:r>
      <w:r w:rsidRPr="005E5238">
        <w:t xml:space="preserve">; </w:t>
      </w:r>
      <w:r w:rsidRPr="005E5238">
        <w:rPr>
          <w:rFonts w:cs="AdvPECF812"/>
        </w:rPr>
        <w:t xml:space="preserve">P. </w:t>
      </w:r>
      <w:proofErr w:type="spellStart"/>
      <w:r w:rsidRPr="005E5238">
        <w:rPr>
          <w:rFonts w:cs="AdvPECF812"/>
        </w:rPr>
        <w:t>aeruginosa</w:t>
      </w:r>
      <w:proofErr w:type="spellEnd"/>
      <w:r w:rsidRPr="005E5238">
        <w:rPr>
          <w:rFonts w:cs="AdvPECF811"/>
        </w:rPr>
        <w:t xml:space="preserve">: </w:t>
      </w:r>
      <w:proofErr w:type="spellStart"/>
      <w:r w:rsidRPr="005E5238">
        <w:rPr>
          <w:rFonts w:cs="AdvPECF812"/>
        </w:rPr>
        <w:t>Pseudomonas</w:t>
      </w:r>
      <w:proofErr w:type="spellEnd"/>
      <w:r w:rsidRPr="005E5238">
        <w:rPr>
          <w:rFonts w:cs="AdvPECF812"/>
        </w:rPr>
        <w:t xml:space="preserve"> </w:t>
      </w:r>
      <w:proofErr w:type="spellStart"/>
      <w:r w:rsidRPr="005E5238">
        <w:rPr>
          <w:rFonts w:cs="AdvPECF812"/>
        </w:rPr>
        <w:t>aeurginosa</w:t>
      </w:r>
      <w:proofErr w:type="spellEnd"/>
      <w:r w:rsidRPr="005E5238">
        <w:rPr>
          <w:rFonts w:cs="AdvPECF811"/>
        </w:rPr>
        <w:t>.</w:t>
      </w:r>
    </w:p>
    <w:p w:rsidR="005E5238" w:rsidRDefault="00EA2BED" w:rsidP="00D95DA6">
      <w:r>
        <w:rPr>
          <w:rFonts w:cs="AdvPECF811"/>
          <w:vertAlign w:val="superscript"/>
        </w:rPr>
        <w:t>1</w:t>
      </w:r>
      <w:r w:rsidR="00EA1ED5">
        <w:rPr>
          <w:rFonts w:cs="AdvPECF811"/>
        </w:rPr>
        <w:t xml:space="preserve">: смотри вводные абзацы для понимания происхождения терминов; </w:t>
      </w:r>
      <w:r>
        <w:rPr>
          <w:rFonts w:cs="AdvPECF811"/>
          <w:vertAlign w:val="superscript"/>
        </w:rPr>
        <w:t>2</w:t>
      </w:r>
      <w:r w:rsidR="00EA1ED5">
        <w:rPr>
          <w:rFonts w:cs="AdvPECF811"/>
        </w:rPr>
        <w:t xml:space="preserve">: использовать при аллергии на препараты выбора, или распространённой клинически значимой </w:t>
      </w:r>
      <w:proofErr w:type="spellStart"/>
      <w:r w:rsidR="00EA1ED5">
        <w:rPr>
          <w:rFonts w:cs="AdvPECF811"/>
        </w:rPr>
        <w:t>резистентности</w:t>
      </w:r>
      <w:proofErr w:type="spellEnd"/>
      <w:r w:rsidR="00EA1ED5">
        <w:rPr>
          <w:rFonts w:cs="AdvPECF811"/>
        </w:rPr>
        <w:t xml:space="preserve"> к препаратам выбора. В некоторых европейских странах возможно использование только «альтернативных» препаратов. </w:t>
      </w:r>
      <w:r>
        <w:rPr>
          <w:rFonts w:cs="AdvPECF811"/>
          <w:vertAlign w:val="superscript"/>
        </w:rPr>
        <w:t>3</w:t>
      </w:r>
      <w:r w:rsidR="00EA1ED5">
        <w:rPr>
          <w:rFonts w:cs="AdvPECF811"/>
        </w:rPr>
        <w:t xml:space="preserve">: </w:t>
      </w:r>
      <w:proofErr w:type="spellStart"/>
      <w:r w:rsidR="00EA1ED5">
        <w:rPr>
          <w:rFonts w:cs="AdvPECF811"/>
        </w:rPr>
        <w:t>антибиотикотерапия</w:t>
      </w:r>
      <w:proofErr w:type="spellEnd"/>
      <w:r w:rsidR="00EA1ED5">
        <w:rPr>
          <w:rFonts w:cs="AdvPECF811"/>
        </w:rPr>
        <w:t xml:space="preserve"> может не требоваться (смотри в тексте показания для </w:t>
      </w:r>
      <w:proofErr w:type="spellStart"/>
      <w:r w:rsidR="00EA1ED5">
        <w:rPr>
          <w:rFonts w:cs="AdvPECF811"/>
        </w:rPr>
        <w:t>антибиотикотерапии</w:t>
      </w:r>
      <w:proofErr w:type="spellEnd"/>
      <w:r w:rsidR="00EA1ED5">
        <w:rPr>
          <w:rFonts w:cs="AdvPECF811"/>
        </w:rPr>
        <w:t xml:space="preserve">). </w:t>
      </w:r>
      <w:r>
        <w:rPr>
          <w:rFonts w:cs="AdvPECF811"/>
          <w:vertAlign w:val="superscript"/>
        </w:rPr>
        <w:t>4</w:t>
      </w:r>
      <w:r w:rsidR="00EA1ED5">
        <w:rPr>
          <w:rFonts w:cs="AdvPECF811"/>
        </w:rPr>
        <w:t xml:space="preserve">: </w:t>
      </w:r>
      <w:proofErr w:type="spellStart"/>
      <w:r w:rsidR="00EA1ED5">
        <w:rPr>
          <w:rFonts w:cs="AdvPECF811"/>
        </w:rPr>
        <w:t>тетрацикцин</w:t>
      </w:r>
      <w:proofErr w:type="spellEnd"/>
      <w:r w:rsidR="00EA1ED5">
        <w:rPr>
          <w:rFonts w:cs="AdvPECF811"/>
        </w:rPr>
        <w:t xml:space="preserve"> или </w:t>
      </w:r>
      <w:proofErr w:type="spellStart"/>
      <w:r w:rsidR="00EA1ED5">
        <w:rPr>
          <w:rFonts w:cs="AdvPECF811"/>
        </w:rPr>
        <w:t>доксициклин</w:t>
      </w:r>
      <w:proofErr w:type="spellEnd"/>
      <w:r w:rsidR="00EA1ED5">
        <w:rPr>
          <w:rFonts w:cs="AdvPECF811"/>
        </w:rPr>
        <w:t xml:space="preserve">; </w:t>
      </w:r>
      <w:r>
        <w:rPr>
          <w:rFonts w:cs="AdvPECF811"/>
          <w:vertAlign w:val="superscript"/>
        </w:rPr>
        <w:t>5</w:t>
      </w:r>
      <w:r w:rsidR="00212EC7">
        <w:rPr>
          <w:rFonts w:cs="AdvPECF811"/>
        </w:rPr>
        <w:t xml:space="preserve">: </w:t>
      </w:r>
      <w:proofErr w:type="spellStart"/>
      <w:r w:rsidR="00212EC7">
        <w:rPr>
          <w:rFonts w:cs="AdvPECF811"/>
        </w:rPr>
        <w:t>эритромицин</w:t>
      </w:r>
      <w:proofErr w:type="spellEnd"/>
      <w:r w:rsidR="00212EC7">
        <w:rPr>
          <w:rFonts w:cs="AdvPECF811"/>
        </w:rPr>
        <w:t xml:space="preserve">, </w:t>
      </w:r>
      <w:proofErr w:type="spellStart"/>
      <w:r w:rsidR="00212EC7">
        <w:rPr>
          <w:rFonts w:cs="AdvPECF811"/>
        </w:rPr>
        <w:t>кларитромицин</w:t>
      </w:r>
      <w:proofErr w:type="spellEnd"/>
      <w:r w:rsidR="00212EC7">
        <w:rPr>
          <w:rFonts w:cs="AdvPECF811"/>
        </w:rPr>
        <w:t xml:space="preserve">, </w:t>
      </w:r>
      <w:proofErr w:type="spellStart"/>
      <w:r w:rsidR="00212EC7">
        <w:rPr>
          <w:rFonts w:cs="AdvPECF811"/>
        </w:rPr>
        <w:t>рокситромицин</w:t>
      </w:r>
      <w:proofErr w:type="spellEnd"/>
      <w:r w:rsidR="00212EC7">
        <w:rPr>
          <w:rFonts w:cs="AdvPECF811"/>
        </w:rPr>
        <w:t xml:space="preserve"> или </w:t>
      </w:r>
      <w:proofErr w:type="spellStart"/>
      <w:r w:rsidR="00212EC7">
        <w:rPr>
          <w:rFonts w:cs="AdvPECF811"/>
        </w:rPr>
        <w:t>азитромицин</w:t>
      </w:r>
      <w:proofErr w:type="spellEnd"/>
      <w:r w:rsidR="00212EC7">
        <w:rPr>
          <w:rFonts w:cs="AdvPECF811"/>
        </w:rPr>
        <w:t xml:space="preserve">. Возможно использование </w:t>
      </w:r>
      <w:proofErr w:type="spellStart"/>
      <w:r w:rsidR="00212EC7">
        <w:rPr>
          <w:rFonts w:cs="AdvPECF811"/>
        </w:rPr>
        <w:t>телитромицина</w:t>
      </w:r>
      <w:proofErr w:type="spellEnd"/>
      <w:r w:rsidR="00212EC7">
        <w:rPr>
          <w:rFonts w:cs="AdvPECF811"/>
        </w:rPr>
        <w:t xml:space="preserve">, как альтернативного препарата </w:t>
      </w:r>
      <w:proofErr w:type="spellStart"/>
      <w:r w:rsidR="00517991">
        <w:rPr>
          <w:rFonts w:cs="AdvPECF811"/>
        </w:rPr>
        <w:t>амбулаторно</w:t>
      </w:r>
      <w:proofErr w:type="spellEnd"/>
      <w:r w:rsidR="00212EC7">
        <w:rPr>
          <w:rFonts w:cs="AdvPECF811"/>
        </w:rPr>
        <w:t xml:space="preserve"> или </w:t>
      </w:r>
      <w:proofErr w:type="gramStart"/>
      <w:r w:rsidR="00212EC7">
        <w:rPr>
          <w:rFonts w:cs="AdvPECF811"/>
        </w:rPr>
        <w:t>стационаре</w:t>
      </w:r>
      <w:proofErr w:type="gramEnd"/>
      <w:r w:rsidR="00212EC7">
        <w:rPr>
          <w:rFonts w:cs="AdvPECF811"/>
        </w:rPr>
        <w:t xml:space="preserve"> для лечения обострения ХОБЛ или </w:t>
      </w:r>
      <w:proofErr w:type="spellStart"/>
      <w:r w:rsidR="00212EC7">
        <w:rPr>
          <w:rFonts w:cs="AdvPECF811"/>
        </w:rPr>
        <w:t>внегоспитальной</w:t>
      </w:r>
      <w:proofErr w:type="spellEnd"/>
      <w:r w:rsidR="00212EC7">
        <w:rPr>
          <w:rFonts w:cs="AdvPECF811"/>
        </w:rPr>
        <w:t xml:space="preserve"> пневмонии. Однако клиническое исследование данного антибиотика на сегодняшний день слишком ограничено, чтобы давать рекомендации по его применению. </w:t>
      </w:r>
      <w:proofErr w:type="gramStart"/>
      <w:r w:rsidR="00212EC7">
        <w:rPr>
          <w:rFonts w:cs="AdvPECF811"/>
        </w:rPr>
        <w:t>Оральные</w:t>
      </w:r>
      <w:proofErr w:type="gramEnd"/>
      <w:r w:rsidR="00212EC7">
        <w:rPr>
          <w:rFonts w:cs="AdvPECF811"/>
        </w:rPr>
        <w:t xml:space="preserve"> </w:t>
      </w:r>
      <w:proofErr w:type="spellStart"/>
      <w:r w:rsidR="00212EC7">
        <w:rPr>
          <w:rFonts w:cs="AdvPECF811"/>
        </w:rPr>
        <w:t>цефалоспорины</w:t>
      </w:r>
      <w:proofErr w:type="spellEnd"/>
      <w:r w:rsidR="00212EC7">
        <w:rPr>
          <w:rFonts w:cs="AdvPECF811"/>
        </w:rPr>
        <w:t xml:space="preserve"> в целом не рекомендованы из-за </w:t>
      </w:r>
      <w:r w:rsidR="004D4AD9">
        <w:rPr>
          <w:rFonts w:cs="AdvPECF811"/>
        </w:rPr>
        <w:t>неподходящей</w:t>
      </w:r>
      <w:r w:rsidR="00212EC7">
        <w:rPr>
          <w:rFonts w:cs="AdvPECF811"/>
        </w:rPr>
        <w:t xml:space="preserve"> </w:t>
      </w:r>
      <w:proofErr w:type="spellStart"/>
      <w:r w:rsidR="00212EC7">
        <w:rPr>
          <w:rFonts w:cs="AdvPECF811"/>
        </w:rPr>
        <w:t>фармакокинетики</w:t>
      </w:r>
      <w:proofErr w:type="spellEnd"/>
      <w:r w:rsidR="00212EC7">
        <w:rPr>
          <w:rFonts w:cs="AdvPECF811"/>
        </w:rPr>
        <w:t xml:space="preserve">. Рекомендации по дозам смотри в </w:t>
      </w:r>
      <w:r w:rsidR="00212EC7" w:rsidRPr="00D127A0">
        <w:rPr>
          <w:rFonts w:cs="AdvPECF811"/>
        </w:rPr>
        <w:t xml:space="preserve">Приложении </w:t>
      </w:r>
      <w:r w:rsidR="00212EC7">
        <w:rPr>
          <w:rFonts w:cs="AdvPECF811"/>
        </w:rPr>
        <w:t>3.</w:t>
      </w:r>
    </w:p>
    <w:p w:rsidR="00F2630E" w:rsidRDefault="00F2630E" w:rsidP="00D95DA6">
      <w:pPr>
        <w:rPr>
          <w:i/>
        </w:rPr>
      </w:pPr>
      <w:r>
        <w:rPr>
          <w:i/>
        </w:rPr>
        <w:t xml:space="preserve">Оправдано ли применение </w:t>
      </w:r>
      <w:r w:rsidR="00C371EC">
        <w:rPr>
          <w:i/>
        </w:rPr>
        <w:t>противовирусных препар</w:t>
      </w:r>
      <w:r w:rsidR="00635406">
        <w:rPr>
          <w:i/>
        </w:rPr>
        <w:t>атов при лечении пациентов с ИН</w:t>
      </w:r>
      <w:r w:rsidR="00C371EC">
        <w:rPr>
          <w:i/>
        </w:rPr>
        <w:t>ДП?</w:t>
      </w:r>
    </w:p>
    <w:p w:rsidR="00C371EC" w:rsidRDefault="005175BE" w:rsidP="00D95DA6">
      <w:r>
        <w:t>Эмпирическое использование противовирусных препаратов при подозрении на грипп обычно не рекомендовано (В</w:t>
      </w:r>
      <w:proofErr w:type="gramStart"/>
      <w:r>
        <w:t>1</w:t>
      </w:r>
      <w:proofErr w:type="gramEnd"/>
      <w:r>
        <w:t>). Только у пациентов с высоким риском</w:t>
      </w:r>
      <w:r w:rsidR="00635406">
        <w:t xml:space="preserve"> инфицирования вирусом гриппа</w:t>
      </w:r>
      <w:r>
        <w:t xml:space="preserve">, имеющих типичную симптоматику (лихорадка, боли в мышцах, </w:t>
      </w:r>
      <w:r w:rsidR="007D5DFA">
        <w:t>общая слабость и инфекция дыхательных путей) в течение</w:t>
      </w:r>
      <w:r>
        <w:t xml:space="preserve">  </w:t>
      </w:r>
      <w:r w:rsidR="007D5DFA" w:rsidRPr="007D5DFA">
        <w:t>&lt;</w:t>
      </w:r>
      <w:r w:rsidR="007D5DFA">
        <w:t>2 дней в рамках эпидемии гриппа, возможно применение противовирусной терапии</w:t>
      </w:r>
      <w:r w:rsidR="005F6BE3">
        <w:t xml:space="preserve"> (С</w:t>
      </w:r>
      <w:proofErr w:type="gramStart"/>
      <w:r w:rsidR="005F6BE3">
        <w:t>1</w:t>
      </w:r>
      <w:proofErr w:type="gramEnd"/>
      <w:r w:rsidR="005F6BE3">
        <w:t>)</w:t>
      </w:r>
      <w:r w:rsidR="007D5DFA">
        <w:t>.</w:t>
      </w:r>
    </w:p>
    <w:p w:rsidR="009A191A" w:rsidRDefault="009A191A" w:rsidP="00D95DA6">
      <w:pPr>
        <w:rPr>
          <w:i/>
        </w:rPr>
      </w:pPr>
      <w:r>
        <w:rPr>
          <w:i/>
        </w:rPr>
        <w:t>Как отслеживать д</w:t>
      </w:r>
      <w:r w:rsidR="00271FFD">
        <w:rPr>
          <w:i/>
        </w:rPr>
        <w:t>инамику состояния пациента с ИН</w:t>
      </w:r>
      <w:r>
        <w:rPr>
          <w:i/>
        </w:rPr>
        <w:t>ДП?</w:t>
      </w:r>
    </w:p>
    <w:p w:rsidR="009A191A" w:rsidRDefault="009A191A" w:rsidP="00D95DA6">
      <w:r>
        <w:t>Пациенту следует рекомендовать повторно обратиться к врачу, если симптомы не исчезнут в течение 3 недель.</w:t>
      </w:r>
    </w:p>
    <w:p w:rsidR="009A191A" w:rsidRDefault="009A191A" w:rsidP="00D95DA6">
      <w:r>
        <w:t>Клинический эффект от применения антибиотиков должен</w:t>
      </w:r>
      <w:r w:rsidR="00F4546D">
        <w:t xml:space="preserve"> проявиться в теч</w:t>
      </w:r>
      <w:r w:rsidR="00271FFD">
        <w:t>ение 3 дней. С</w:t>
      </w:r>
      <w:r w:rsidR="00F4546D">
        <w:t>ледует предупредить пациента, чтобы он связался с врачом, ели эффект от лечения не будет заметным.</w:t>
      </w:r>
      <w:r w:rsidR="00EA67D2">
        <w:t xml:space="preserve"> Тяжёлые пациенты, т. е. имеющие как минимум два из следующих симптомов/характеристик, должны быть </w:t>
      </w:r>
      <w:r w:rsidR="00EC1876">
        <w:t xml:space="preserve">осмотрены </w:t>
      </w:r>
      <w:r w:rsidR="00271FFD">
        <w:t>через 2 дня после первого обращения к врачу</w:t>
      </w:r>
      <w:r w:rsidR="00EC1876">
        <w:t xml:space="preserve">: </w:t>
      </w:r>
      <w:r w:rsidR="00EA67D2">
        <w:t xml:space="preserve">высокая лихорадка; </w:t>
      </w:r>
      <w:proofErr w:type="spellStart"/>
      <w:r w:rsidR="00EA67D2">
        <w:t>тахипноэ</w:t>
      </w:r>
      <w:proofErr w:type="spellEnd"/>
      <w:r w:rsidR="00EA67D2">
        <w:t xml:space="preserve">; диспноэ; серьёзные сопутствующие заболевания; возраст </w:t>
      </w:r>
      <w:r w:rsidR="00EA67D2" w:rsidRPr="00EA67D2">
        <w:t>&gt;</w:t>
      </w:r>
      <w:r w:rsidR="00EA67D2">
        <w:t>65 лет</w:t>
      </w:r>
      <w:r w:rsidR="00053605">
        <w:t>.</w:t>
      </w:r>
    </w:p>
    <w:p w:rsidR="00053605" w:rsidRDefault="00053605" w:rsidP="00D95DA6">
      <w:r>
        <w:t xml:space="preserve">Все пациенты или лица из их ближайшего окружения должны обратиться к врачу в следующих ситуациях: длительность лихорадки превышает 4 дня; </w:t>
      </w:r>
      <w:r w:rsidR="00484247">
        <w:t>усугубление диспноэ; отсутствие жажды (пациенты перестают пить); нарушение сознания (С3).</w:t>
      </w:r>
    </w:p>
    <w:p w:rsidR="00484247" w:rsidRDefault="001208DF" w:rsidP="00D95DA6">
      <w:pPr>
        <w:rPr>
          <w:b/>
        </w:rPr>
      </w:pPr>
      <w:r w:rsidRPr="00061C54">
        <w:rPr>
          <w:b/>
        </w:rPr>
        <w:lastRenderedPageBreak/>
        <w:t>Руководство</w:t>
      </w:r>
      <w:r w:rsidR="00061C54" w:rsidRPr="00061C54">
        <w:rPr>
          <w:b/>
        </w:rPr>
        <w:t xml:space="preserve"> на стационар</w:t>
      </w:r>
      <w:r w:rsidR="00061C54">
        <w:rPr>
          <w:b/>
        </w:rPr>
        <w:t>ный этап</w:t>
      </w:r>
    </w:p>
    <w:p w:rsidR="001208DF" w:rsidRPr="00100B30" w:rsidRDefault="001208DF" w:rsidP="00D95DA6">
      <w:pPr>
        <w:rPr>
          <w:u w:val="single"/>
        </w:rPr>
      </w:pPr>
      <w:proofErr w:type="spellStart"/>
      <w:r w:rsidRPr="00100B30">
        <w:rPr>
          <w:u w:val="single"/>
        </w:rPr>
        <w:t>Внегоспитальная</w:t>
      </w:r>
      <w:proofErr w:type="spellEnd"/>
      <w:r w:rsidRPr="00100B30">
        <w:rPr>
          <w:u w:val="single"/>
        </w:rPr>
        <w:t xml:space="preserve"> пневмония</w:t>
      </w:r>
    </w:p>
    <w:p w:rsidR="001208DF" w:rsidRDefault="00100B30" w:rsidP="00D95DA6">
      <w:pPr>
        <w:rPr>
          <w:i/>
        </w:rPr>
      </w:pPr>
      <w:r>
        <w:rPr>
          <w:i/>
        </w:rPr>
        <w:t>Какие пациенты подлежат госпитализации</w:t>
      </w:r>
      <w:r w:rsidR="001208DF">
        <w:rPr>
          <w:i/>
        </w:rPr>
        <w:t>?</w:t>
      </w:r>
    </w:p>
    <w:p w:rsidR="00F36C13" w:rsidRPr="005222AB" w:rsidRDefault="00EB6667" w:rsidP="00F36C13">
      <w:pPr>
        <w:autoSpaceDE w:val="0"/>
        <w:autoSpaceDN w:val="0"/>
        <w:adjustRightInd w:val="0"/>
        <w:spacing w:after="0" w:line="240" w:lineRule="auto"/>
      </w:pPr>
      <w:r>
        <w:t xml:space="preserve">Решение о госпитализации пациента базируется на клинической картине. Тем не менее, это решение должно быть обосновано как минимум одним объективным исследованием </w:t>
      </w:r>
      <w:r w:rsidRPr="00061C54">
        <w:t>оценки риска.</w:t>
      </w:r>
      <w:r w:rsidR="00F36C13">
        <w:t xml:space="preserve"> Как степень тяжести пневмонии (</w:t>
      </w:r>
      <w:proofErr w:type="spellStart"/>
      <w:r w:rsidR="00F36C13" w:rsidRPr="00F36C13">
        <w:rPr>
          <w:rFonts w:cs="AdvP7C2E"/>
        </w:rPr>
        <w:t>pneumonia</w:t>
      </w:r>
      <w:proofErr w:type="spellEnd"/>
      <w:r w:rsidR="00F36C13">
        <w:rPr>
          <w:rFonts w:cs="AdvP7C2E"/>
        </w:rPr>
        <w:t xml:space="preserve"> </w:t>
      </w:r>
      <w:proofErr w:type="spellStart"/>
      <w:r w:rsidR="00F36C13" w:rsidRPr="00F36C13">
        <w:rPr>
          <w:rFonts w:cs="AdvP7C2E"/>
        </w:rPr>
        <w:t>severity</w:t>
      </w:r>
      <w:proofErr w:type="spellEnd"/>
      <w:r w:rsidR="00F36C13" w:rsidRPr="00F36C13">
        <w:rPr>
          <w:rFonts w:cs="AdvP7C2E"/>
        </w:rPr>
        <w:t xml:space="preserve"> </w:t>
      </w:r>
      <w:proofErr w:type="spellStart"/>
      <w:r w:rsidR="00F36C13" w:rsidRPr="00F36C13">
        <w:rPr>
          <w:rFonts w:cs="AdvP7C2E"/>
        </w:rPr>
        <w:t>index,PSI</w:t>
      </w:r>
      <w:proofErr w:type="spellEnd"/>
      <w:r w:rsidR="00F36C13" w:rsidRPr="00F36C13">
        <w:rPr>
          <w:rFonts w:cs="AdvP7C2E"/>
        </w:rPr>
        <w:t>)</w:t>
      </w:r>
      <w:r w:rsidR="00F36C13">
        <w:rPr>
          <w:rFonts w:cs="AdvP7C2E"/>
        </w:rPr>
        <w:t xml:space="preserve">, так и </w:t>
      </w:r>
      <w:r w:rsidR="00F36C13" w:rsidRPr="00F36C13">
        <w:rPr>
          <w:rFonts w:cs="AdvP7C2E"/>
        </w:rPr>
        <w:t>CURB</w:t>
      </w:r>
      <w:r w:rsidR="00F36C13">
        <w:rPr>
          <w:rFonts w:cs="AdvP7C2E"/>
        </w:rPr>
        <w:t xml:space="preserve"> индекс (</w:t>
      </w:r>
      <w:r w:rsidR="00F36C13">
        <w:t xml:space="preserve">уровень сознания, мочевина, частота дыхательных движений, артериальное давление, </w:t>
      </w:r>
      <w:proofErr w:type="gramStart"/>
      <w:r w:rsidR="00F36C13">
        <w:t>см</w:t>
      </w:r>
      <w:proofErr w:type="gramEnd"/>
      <w:r w:rsidR="00F36C13">
        <w:t>. ниже)</w:t>
      </w:r>
      <w:r w:rsidR="00F36C13" w:rsidRPr="00F36C13">
        <w:t xml:space="preserve"> </w:t>
      </w:r>
      <w:r w:rsidR="00F36C13">
        <w:t>могут быть использованы для обоснования решения о госпитализации.</w:t>
      </w:r>
      <w:r w:rsidR="005222AB">
        <w:t xml:space="preserve"> </w:t>
      </w:r>
      <w:proofErr w:type="gramStart"/>
      <w:r w:rsidR="005222AB">
        <w:rPr>
          <w:lang w:val="en-US"/>
        </w:rPr>
        <w:t>PSI</w:t>
      </w:r>
      <w:r w:rsidR="00B52F20">
        <w:t xml:space="preserve"> равный</w:t>
      </w:r>
      <w:r w:rsidR="005222AB">
        <w:t xml:space="preserve"> </w:t>
      </w:r>
      <w:r w:rsidR="005222AB">
        <w:rPr>
          <w:lang w:val="en-US"/>
        </w:rPr>
        <w:t>IV</w:t>
      </w:r>
      <w:r w:rsidR="005222AB" w:rsidRPr="005222AB">
        <w:t xml:space="preserve"> </w:t>
      </w:r>
      <w:r w:rsidR="005222AB">
        <w:t xml:space="preserve">и </w:t>
      </w:r>
      <w:r w:rsidR="005222AB">
        <w:rPr>
          <w:lang w:val="en-US"/>
        </w:rPr>
        <w:t>V</w:t>
      </w:r>
      <w:r w:rsidR="005222AB">
        <w:t xml:space="preserve"> и/или</w:t>
      </w:r>
      <w:r w:rsidR="005222AB" w:rsidRPr="005222AB">
        <w:rPr>
          <w:rFonts w:cs="AdvP7C2E"/>
        </w:rPr>
        <w:t xml:space="preserve"> </w:t>
      </w:r>
      <w:r w:rsidR="005222AB" w:rsidRPr="00F36C13">
        <w:rPr>
          <w:rFonts w:cs="AdvP7C2E"/>
        </w:rPr>
        <w:t>CURB</w:t>
      </w:r>
      <w:r w:rsidR="005222AB">
        <w:rPr>
          <w:rFonts w:cs="AdvP7C2E"/>
        </w:rPr>
        <w:t xml:space="preserve"> ≥2</w:t>
      </w:r>
      <w:r w:rsidR="00B52F20">
        <w:rPr>
          <w:rFonts w:cs="AdvP7C2E"/>
        </w:rPr>
        <w:t xml:space="preserve"> является серьёзным показанием к госпитализации</w:t>
      </w:r>
      <w:r w:rsidR="000E67C5">
        <w:rPr>
          <w:rFonts w:cs="AdvP7C2E"/>
        </w:rPr>
        <w:t xml:space="preserve"> (А3)</w:t>
      </w:r>
      <w:r w:rsidR="00B52F20">
        <w:rPr>
          <w:rFonts w:cs="AdvP7C2E"/>
        </w:rPr>
        <w:t>.</w:t>
      </w:r>
      <w:proofErr w:type="gramEnd"/>
    </w:p>
    <w:p w:rsidR="00E02B2B" w:rsidRDefault="00DA5A81" w:rsidP="00D95DA6">
      <w:r>
        <w:t>Другие факторы, включая социальный, не относящийся к тяжести пневмонии, так же должны учитываться.</w:t>
      </w:r>
    </w:p>
    <w:p w:rsidR="00935661" w:rsidRDefault="00935661" w:rsidP="00D95DA6">
      <w:pPr>
        <w:rPr>
          <w:i/>
        </w:rPr>
      </w:pPr>
      <w:r>
        <w:rPr>
          <w:i/>
        </w:rPr>
        <w:t>Кто должен быть госпитализирован в отделение интенсивной терапии?</w:t>
      </w:r>
    </w:p>
    <w:p w:rsidR="00935661" w:rsidRDefault="00FA5B6A" w:rsidP="00D95DA6">
      <w:r>
        <w:t>Признаки</w:t>
      </w:r>
      <w:r w:rsidR="00935661">
        <w:t xml:space="preserve"> острой дыхательной недостаточности, острого сепсиса или септического шока и увеличение инфильтратов на рентгенограмме</w:t>
      </w:r>
      <w:r>
        <w:t xml:space="preserve"> должны способствовать решению о госпитализации пациента в отделение интенсивной </w:t>
      </w:r>
      <w:r w:rsidR="002B0781">
        <w:t>терапии или реанимации (ОРИТ).</w:t>
      </w:r>
    </w:p>
    <w:p w:rsidR="00FA5B6A" w:rsidRDefault="00FA5B6A" w:rsidP="00D95DA6">
      <w:proofErr w:type="gramStart"/>
      <w:r>
        <w:t>Наличие</w:t>
      </w:r>
      <w:proofErr w:type="gramEnd"/>
      <w:r>
        <w:t xml:space="preserve"> по крайней мере двух из следующих признаков </w:t>
      </w:r>
      <w:proofErr w:type="spellStart"/>
      <w:r>
        <w:t>внегоспитальной</w:t>
      </w:r>
      <w:proofErr w:type="spellEnd"/>
      <w:r>
        <w:t xml:space="preserve"> пневмонии может рассматриваться как показание к направлению в ОРИТ: систолической артериальное давление </w:t>
      </w:r>
      <w:r w:rsidRPr="007D5DFA">
        <w:t>&lt;</w:t>
      </w:r>
      <w:r w:rsidRPr="00FA5B6A">
        <w:rPr>
          <w:rFonts w:cs="AdvP7C2E"/>
        </w:rPr>
        <w:t xml:space="preserve">90 </w:t>
      </w:r>
      <w:proofErr w:type="spellStart"/>
      <w:r w:rsidRPr="00FA5B6A">
        <w:rPr>
          <w:rFonts w:cs="AdvP7C2E"/>
        </w:rPr>
        <w:t>mmHg</w:t>
      </w:r>
      <w:proofErr w:type="spellEnd"/>
      <w:r>
        <w:rPr>
          <w:rFonts w:cs="AdvP7C2E"/>
        </w:rPr>
        <w:t>; острая дыхательная недостаточность (</w:t>
      </w:r>
      <w:r w:rsidR="00013910">
        <w:rPr>
          <w:rFonts w:cs="AdvP7C2E"/>
        </w:rPr>
        <w:t>парциальное давление кислорода</w:t>
      </w:r>
      <w:r w:rsidR="006E00EE">
        <w:rPr>
          <w:rFonts w:cs="AdvP7C2E"/>
        </w:rPr>
        <w:t xml:space="preserve"> в артериальной крови к в</w:t>
      </w:r>
      <w:r w:rsidR="006E00EE" w:rsidRPr="006E00EE">
        <w:rPr>
          <w:rFonts w:cs="AdvP7C2E"/>
        </w:rPr>
        <w:t>еличине содержания кислорода во вдыхаемой смеси</w:t>
      </w:r>
      <w:r w:rsidR="006E00EE">
        <w:rPr>
          <w:rFonts w:cs="AdvP7C2E"/>
        </w:rPr>
        <w:t xml:space="preserve"> - </w:t>
      </w:r>
      <w:r w:rsidR="006E00EE" w:rsidRPr="006E00EE">
        <w:rPr>
          <w:rFonts w:cs="AdvP7C2E"/>
        </w:rPr>
        <w:t>индекс PaO2/FiO2</w:t>
      </w:r>
      <w:r w:rsidR="006E00EE">
        <w:rPr>
          <w:rFonts w:cs="AdvP7C2E"/>
        </w:rPr>
        <w:t xml:space="preserve"> </w:t>
      </w:r>
      <w:r w:rsidR="006E00EE" w:rsidRPr="007D5DFA">
        <w:t>&lt;</w:t>
      </w:r>
      <w:r w:rsidR="006E00EE">
        <w:t>250</w:t>
      </w:r>
      <w:r w:rsidR="006E00EE">
        <w:rPr>
          <w:rFonts w:cs="AdvP7C2E"/>
        </w:rPr>
        <w:t>)</w:t>
      </w:r>
      <w:r w:rsidR="0000450A">
        <w:rPr>
          <w:rFonts w:cs="AdvP7C2E"/>
        </w:rPr>
        <w:t>; поражение более чем двух доле</w:t>
      </w:r>
      <w:r w:rsidR="006634CB">
        <w:rPr>
          <w:rFonts w:cs="AdvP7C2E"/>
        </w:rPr>
        <w:t>й</w:t>
      </w:r>
      <w:r w:rsidR="0000450A">
        <w:rPr>
          <w:rFonts w:cs="AdvP7C2E"/>
        </w:rPr>
        <w:t xml:space="preserve"> по данным рентгенографии грудной клетки</w:t>
      </w:r>
      <w:r w:rsidR="006634CB">
        <w:rPr>
          <w:rFonts w:cs="AdvP7C2E"/>
        </w:rPr>
        <w:t xml:space="preserve"> (</w:t>
      </w:r>
      <w:proofErr w:type="spellStart"/>
      <w:r w:rsidR="006634CB">
        <w:rPr>
          <w:rFonts w:cs="AdvP7C2E"/>
        </w:rPr>
        <w:t>многодолевое</w:t>
      </w:r>
      <w:proofErr w:type="spellEnd"/>
      <w:r w:rsidR="006634CB">
        <w:rPr>
          <w:rFonts w:cs="AdvP7C2E"/>
        </w:rPr>
        <w:t xml:space="preserve"> поражение); потребность в ИВЛ или </w:t>
      </w:r>
      <w:r w:rsidR="00F42305">
        <w:rPr>
          <w:rFonts w:cs="AdvP7C2E"/>
        </w:rPr>
        <w:t xml:space="preserve">потребность в </w:t>
      </w:r>
      <w:proofErr w:type="spellStart"/>
      <w:r w:rsidR="006634CB">
        <w:rPr>
          <w:rFonts w:cs="AdvP7C2E"/>
        </w:rPr>
        <w:t>вазопрессорах</w:t>
      </w:r>
      <w:proofErr w:type="spellEnd"/>
      <w:r w:rsidR="00F42305">
        <w:rPr>
          <w:rFonts w:cs="AdvP7C2E"/>
        </w:rPr>
        <w:t xml:space="preserve"> </w:t>
      </w:r>
      <w:r w:rsidR="00F42305" w:rsidRPr="00EA67D2">
        <w:t>&gt;</w:t>
      </w:r>
      <w:r w:rsidR="00F42305">
        <w:t>4 часов (септический шок;  А3).</w:t>
      </w:r>
    </w:p>
    <w:p w:rsidR="005E4D7C" w:rsidRDefault="005E4D7C" w:rsidP="00D95DA6">
      <w:pPr>
        <w:rPr>
          <w:i/>
        </w:rPr>
      </w:pPr>
      <w:r>
        <w:rPr>
          <w:i/>
        </w:rPr>
        <w:t>Какие лабораторные исследования должны быть проведены?</w:t>
      </w:r>
    </w:p>
    <w:p w:rsidR="005E4D7C" w:rsidRDefault="005E4D7C" w:rsidP="00D95DA6">
      <w:r>
        <w:t>Объём лабораторных и микробиологических исследований должен определяться тяжестью пневмонии (А3).</w:t>
      </w:r>
    </w:p>
    <w:p w:rsidR="00C92FA1" w:rsidRDefault="00C92FA1" w:rsidP="00D95DA6">
      <w:pPr>
        <w:rPr>
          <w:i/>
        </w:rPr>
      </w:pPr>
      <w:r>
        <w:rPr>
          <w:i/>
        </w:rPr>
        <w:t xml:space="preserve">Какова значимость </w:t>
      </w:r>
      <w:proofErr w:type="spellStart"/>
      <w:r>
        <w:rPr>
          <w:i/>
        </w:rPr>
        <w:t>гемокультуры</w:t>
      </w:r>
      <w:proofErr w:type="spellEnd"/>
      <w:r>
        <w:rPr>
          <w:i/>
        </w:rPr>
        <w:t xml:space="preserve"> в диагностике </w:t>
      </w:r>
      <w:proofErr w:type="spellStart"/>
      <w:r>
        <w:rPr>
          <w:i/>
        </w:rPr>
        <w:t>внегоспитальной</w:t>
      </w:r>
      <w:proofErr w:type="spellEnd"/>
      <w:r>
        <w:rPr>
          <w:i/>
        </w:rPr>
        <w:t xml:space="preserve"> пневмонии?</w:t>
      </w:r>
    </w:p>
    <w:p w:rsidR="00C92FA1" w:rsidRPr="00C92FA1" w:rsidRDefault="00D94095" w:rsidP="00D95DA6">
      <w:pPr>
        <w:rPr>
          <w:rFonts w:cs="AdvP7C2E"/>
        </w:rPr>
      </w:pPr>
      <w:r>
        <w:t xml:space="preserve">Кровь на </w:t>
      </w:r>
      <w:proofErr w:type="spellStart"/>
      <w:r>
        <w:t>гемокультуру</w:t>
      </w:r>
      <w:proofErr w:type="spellEnd"/>
      <w:r>
        <w:t xml:space="preserve"> должна браться у всех пациентов с </w:t>
      </w:r>
      <w:proofErr w:type="spellStart"/>
      <w:r>
        <w:t>внегоспитальной</w:t>
      </w:r>
      <w:proofErr w:type="spellEnd"/>
      <w:r>
        <w:t xml:space="preserve"> пневмонией, подлежащих госпитализации (А3).</w:t>
      </w:r>
    </w:p>
    <w:p w:rsidR="0000450A" w:rsidRDefault="008735BC" w:rsidP="00D95DA6">
      <w:pPr>
        <w:rPr>
          <w:i/>
        </w:rPr>
      </w:pPr>
      <w:r>
        <w:rPr>
          <w:i/>
        </w:rPr>
        <w:t xml:space="preserve">Какие ещё </w:t>
      </w:r>
      <w:proofErr w:type="spellStart"/>
      <w:r>
        <w:rPr>
          <w:i/>
        </w:rPr>
        <w:t>инвазивные</w:t>
      </w:r>
      <w:proofErr w:type="spellEnd"/>
      <w:r>
        <w:rPr>
          <w:i/>
        </w:rPr>
        <w:t xml:space="preserve"> методики могут применяться в лабораторной диагностике пневмонии</w:t>
      </w:r>
      <w:r w:rsidR="004E2965">
        <w:rPr>
          <w:i/>
        </w:rPr>
        <w:t xml:space="preserve"> для забора материала на бактериальный анализ</w:t>
      </w:r>
      <w:r>
        <w:rPr>
          <w:i/>
        </w:rPr>
        <w:t>?</w:t>
      </w:r>
    </w:p>
    <w:p w:rsidR="008735BC" w:rsidRDefault="008735BC" w:rsidP="00D95DA6">
      <w:r>
        <w:t>Следующие</w:t>
      </w:r>
      <w:r w:rsidRPr="008735BC">
        <w:rPr>
          <w:i/>
        </w:rPr>
        <w:t xml:space="preserve"> </w:t>
      </w:r>
      <w:proofErr w:type="spellStart"/>
      <w:r w:rsidRPr="008735BC">
        <w:t>инвазивные</w:t>
      </w:r>
      <w:proofErr w:type="spellEnd"/>
      <w:r w:rsidRPr="008735BC">
        <w:t xml:space="preserve"> методики могут </w:t>
      </w:r>
      <w:r w:rsidR="00AB4419" w:rsidRPr="008735BC">
        <w:t>применяться</w:t>
      </w:r>
      <w:r w:rsidR="00AB4419">
        <w:t xml:space="preserve"> в </w:t>
      </w:r>
      <w:r w:rsidRPr="008735BC">
        <w:t>лабораторной диагностике пневмонии</w:t>
      </w:r>
      <w:r>
        <w:t>.</w:t>
      </w:r>
      <w:r w:rsidR="008950C1">
        <w:t xml:space="preserve"> 1)</w:t>
      </w:r>
      <w:r w:rsidR="00A95FEF">
        <w:t xml:space="preserve"> </w:t>
      </w:r>
      <w:r w:rsidR="008950C1">
        <w:t xml:space="preserve">Диагностический </w:t>
      </w:r>
      <w:proofErr w:type="spellStart"/>
      <w:r w:rsidR="008950C1">
        <w:t>торакоцентез</w:t>
      </w:r>
      <w:proofErr w:type="spellEnd"/>
      <w:r w:rsidR="008950C1">
        <w:t xml:space="preserve"> </w:t>
      </w:r>
      <w:r w:rsidR="00AB4419">
        <w:t>следует выполнять при наличие</w:t>
      </w:r>
      <w:r w:rsidR="005B44A7">
        <w:t xml:space="preserve"> подтверждённого плеврального выпота (А3). 2)</w:t>
      </w:r>
      <w:r w:rsidR="00A95FEF">
        <w:t xml:space="preserve"> </w:t>
      </w:r>
      <w:r w:rsidR="005B44A7">
        <w:t>Ввиду присущих методу побочных эффектов</w:t>
      </w:r>
      <w:r w:rsidR="00673273">
        <w:t xml:space="preserve">, </w:t>
      </w:r>
      <w:proofErr w:type="spellStart"/>
      <w:r w:rsidR="00673273">
        <w:t>т</w:t>
      </w:r>
      <w:r w:rsidR="005B44A7">
        <w:t>рансторакальная</w:t>
      </w:r>
      <w:proofErr w:type="spellEnd"/>
      <w:r w:rsidR="005B44A7">
        <w:t xml:space="preserve"> аспирация может выполняться только по индивидуальным показаниям у тяжёлых пациентов с фокальным инфильтратом при </w:t>
      </w:r>
      <w:proofErr w:type="spellStart"/>
      <w:r w:rsidR="005B44A7">
        <w:t>неинформативности</w:t>
      </w:r>
      <w:proofErr w:type="spellEnd"/>
      <w:r w:rsidR="005B44A7">
        <w:t xml:space="preserve"> других, менее </w:t>
      </w:r>
      <w:proofErr w:type="spellStart"/>
      <w:r w:rsidR="005B44A7">
        <w:t>инвазивных</w:t>
      </w:r>
      <w:proofErr w:type="spellEnd"/>
      <w:r w:rsidR="005B44A7">
        <w:t xml:space="preserve"> методов</w:t>
      </w:r>
      <w:r w:rsidR="00A95FEF">
        <w:t xml:space="preserve"> (А3)</w:t>
      </w:r>
      <w:r w:rsidR="005B44A7">
        <w:t>.</w:t>
      </w:r>
      <w:r w:rsidR="00A95FEF">
        <w:t xml:space="preserve"> 3) Бронхоскопия и бронхоальвеолярный </w:t>
      </w:r>
      <w:proofErr w:type="spellStart"/>
      <w:r w:rsidR="00A95FEF">
        <w:t>лаваж</w:t>
      </w:r>
      <w:proofErr w:type="spellEnd"/>
      <w:r w:rsidR="00A95FEF">
        <w:t xml:space="preserve">. </w:t>
      </w:r>
      <w:proofErr w:type="gramStart"/>
      <w:r w:rsidR="00A95FEF">
        <w:t>Бронхоальвеолярный</w:t>
      </w:r>
      <w:proofErr w:type="gramEnd"/>
      <w:r w:rsidR="00A95FEF">
        <w:t xml:space="preserve"> </w:t>
      </w:r>
      <w:proofErr w:type="spellStart"/>
      <w:r w:rsidR="00A95FEF">
        <w:t>лаваж</w:t>
      </w:r>
      <w:proofErr w:type="spellEnd"/>
      <w:r w:rsidR="00A95FEF">
        <w:t xml:space="preserve">  может быть предпочтительным при затяжном течении пневмонии (А3). Бронхоскопия ниж</w:t>
      </w:r>
      <w:r w:rsidR="00454F60">
        <w:t>них отделов дыхательного тракта</w:t>
      </w:r>
      <w:r w:rsidR="00A95FEF">
        <w:t xml:space="preserve"> может быть назначена пациентам, находящимся на ИВЛ</w:t>
      </w:r>
      <w:r w:rsidR="00454F60">
        <w:t xml:space="preserve">, и некоторым </w:t>
      </w:r>
      <w:proofErr w:type="spellStart"/>
      <w:r w:rsidR="00454F60">
        <w:t>неинтубированным</w:t>
      </w:r>
      <w:proofErr w:type="spellEnd"/>
      <w:r w:rsidR="00454F60">
        <w:t xml:space="preserve"> пациентам под контролем газообмена (А3).</w:t>
      </w:r>
    </w:p>
    <w:p w:rsidR="00562EE4" w:rsidRDefault="00562EE4" w:rsidP="00D95DA6">
      <w:pPr>
        <w:rPr>
          <w:i/>
        </w:rPr>
      </w:pPr>
      <w:r>
        <w:rPr>
          <w:i/>
        </w:rPr>
        <w:t>Какова ценность исследования мокроты?</w:t>
      </w:r>
    </w:p>
    <w:p w:rsidR="00562EE4" w:rsidRDefault="00562EE4" w:rsidP="00D95DA6">
      <w:r>
        <w:lastRenderedPageBreak/>
        <w:t xml:space="preserve">Окраска гнойной мокроты по </w:t>
      </w:r>
      <w:proofErr w:type="spellStart"/>
      <w:r>
        <w:t>Граму</w:t>
      </w:r>
      <w:proofErr w:type="spellEnd"/>
      <w:r>
        <w:t xml:space="preserve"> рекомендована в </w:t>
      </w:r>
      <w:r w:rsidRPr="00D8355E">
        <w:t xml:space="preserve">случае затяжного </w:t>
      </w:r>
      <w:r>
        <w:t xml:space="preserve">течения </w:t>
      </w:r>
      <w:proofErr w:type="spellStart"/>
      <w:r>
        <w:t>внегоспитальной</w:t>
      </w:r>
      <w:proofErr w:type="spellEnd"/>
      <w:r>
        <w:t xml:space="preserve"> пневмонии (А3).</w:t>
      </w:r>
    </w:p>
    <w:p w:rsidR="00562EE4" w:rsidRDefault="00562EE4" w:rsidP="00D95DA6">
      <w:r>
        <w:t xml:space="preserve">Микробиологическое исследование гнойной мокроты, проводимое с учётом результатов, полученных при окраске по </w:t>
      </w:r>
      <w:proofErr w:type="spellStart"/>
      <w:r>
        <w:t>Граму</w:t>
      </w:r>
      <w:proofErr w:type="spellEnd"/>
      <w:r>
        <w:t>, позволяет точно идентифицировать возбудителя и определить его чувствительность к антибиотикам</w:t>
      </w:r>
      <w:r w:rsidR="0033285B">
        <w:t xml:space="preserve"> (В3)</w:t>
      </w:r>
      <w:r>
        <w:t>.</w:t>
      </w:r>
    </w:p>
    <w:p w:rsidR="00D62BB2" w:rsidRDefault="006C14AC" w:rsidP="00D95DA6">
      <w:pPr>
        <w:rPr>
          <w:i/>
        </w:rPr>
      </w:pPr>
      <w:r w:rsidRPr="006C14AC">
        <w:rPr>
          <w:i/>
        </w:rPr>
        <w:t xml:space="preserve">Какова диагностическая ценность определения антигенов </w:t>
      </w:r>
      <w:r w:rsidR="00D62BB2" w:rsidRPr="006C14AC">
        <w:rPr>
          <w:i/>
        </w:rPr>
        <w:t xml:space="preserve">при </w:t>
      </w:r>
      <w:r w:rsidR="0033285B" w:rsidRPr="006C14AC">
        <w:rPr>
          <w:i/>
        </w:rPr>
        <w:t xml:space="preserve">диагностике </w:t>
      </w:r>
      <w:proofErr w:type="spellStart"/>
      <w:r w:rsidR="0033285B" w:rsidRPr="006C14AC">
        <w:rPr>
          <w:i/>
        </w:rPr>
        <w:t>внегоспитальной</w:t>
      </w:r>
      <w:proofErr w:type="spellEnd"/>
      <w:r w:rsidR="0033285B" w:rsidRPr="006C14AC">
        <w:rPr>
          <w:i/>
        </w:rPr>
        <w:t xml:space="preserve"> пневмонии</w:t>
      </w:r>
      <w:r w:rsidR="0033285B">
        <w:rPr>
          <w:i/>
        </w:rPr>
        <w:t>?</w:t>
      </w:r>
    </w:p>
    <w:p w:rsidR="0033285B" w:rsidRDefault="0033285B" w:rsidP="00D95DA6">
      <w:pPr>
        <w:rPr>
          <w:rFonts w:cs="AdvP7C34"/>
        </w:rPr>
      </w:pPr>
      <w:r>
        <w:t xml:space="preserve">Рекомендовано определение антигенов </w:t>
      </w:r>
      <w:proofErr w:type="spellStart"/>
      <w:r w:rsidRPr="0033285B">
        <w:rPr>
          <w:rFonts w:cs="AdvP7C34"/>
        </w:rPr>
        <w:t>Legionella</w:t>
      </w:r>
      <w:proofErr w:type="spellEnd"/>
      <w:r w:rsidRPr="0033285B">
        <w:rPr>
          <w:rFonts w:cs="AdvP7C34"/>
        </w:rPr>
        <w:t xml:space="preserve"> </w:t>
      </w:r>
      <w:proofErr w:type="spellStart"/>
      <w:r w:rsidRPr="0033285B">
        <w:rPr>
          <w:rFonts w:cs="AdvP7C34"/>
        </w:rPr>
        <w:t>pneumophila</w:t>
      </w:r>
      <w:proofErr w:type="spellEnd"/>
      <w:r>
        <w:rPr>
          <w:rFonts w:cs="AdvP7C34"/>
        </w:rPr>
        <w:t xml:space="preserve"> </w:t>
      </w:r>
      <w:proofErr w:type="spellStart"/>
      <w:r>
        <w:rPr>
          <w:rFonts w:cs="AdvP7C34"/>
        </w:rPr>
        <w:t>серогруппы</w:t>
      </w:r>
      <w:proofErr w:type="spellEnd"/>
      <w:r>
        <w:rPr>
          <w:rFonts w:cs="AdvP7C34"/>
        </w:rPr>
        <w:t xml:space="preserve"> 1 в моче пациентов с тяжёлой </w:t>
      </w:r>
      <w:proofErr w:type="spellStart"/>
      <w:r>
        <w:rPr>
          <w:rFonts w:cs="AdvP7C34"/>
        </w:rPr>
        <w:t>внегоспитальной</w:t>
      </w:r>
      <w:proofErr w:type="spellEnd"/>
      <w:r>
        <w:rPr>
          <w:rFonts w:cs="AdvP7C34"/>
        </w:rPr>
        <w:t xml:space="preserve"> пневмонией, а также в случаях, когда клинически или </w:t>
      </w:r>
      <w:proofErr w:type="spellStart"/>
      <w:r>
        <w:rPr>
          <w:rFonts w:cs="AdvP7C34"/>
        </w:rPr>
        <w:t>эпидемиологически</w:t>
      </w:r>
      <w:proofErr w:type="spellEnd"/>
      <w:r>
        <w:rPr>
          <w:rFonts w:cs="AdvP7C34"/>
        </w:rPr>
        <w:t xml:space="preserve"> </w:t>
      </w:r>
      <w:r w:rsidR="005B1183">
        <w:rPr>
          <w:rFonts w:cs="AdvP7C34"/>
        </w:rPr>
        <w:t>наиболее вероятен этот возбудитель (А3).</w:t>
      </w:r>
    </w:p>
    <w:p w:rsidR="002275BC" w:rsidRDefault="002275BC" w:rsidP="00D95DA6">
      <w:pPr>
        <w:rPr>
          <w:rFonts w:cs="AdvP7C34"/>
          <w:i/>
        </w:rPr>
      </w:pPr>
      <w:r>
        <w:rPr>
          <w:rFonts w:cs="AdvP7C34"/>
          <w:i/>
        </w:rPr>
        <w:t>Что может дать серологическое исследование при диагностике пневмонии?</w:t>
      </w:r>
    </w:p>
    <w:p w:rsidR="002275BC" w:rsidRDefault="009945C2" w:rsidP="00D95DA6">
      <w:pPr>
        <w:rPr>
          <w:rFonts w:cs="AdvP7C34"/>
        </w:rPr>
      </w:pPr>
      <w:r>
        <w:rPr>
          <w:rFonts w:cs="AdvP7C34"/>
        </w:rPr>
        <w:t xml:space="preserve">Не рекомендовано проводить серологическое исследование каждому пациенту с </w:t>
      </w:r>
      <w:proofErr w:type="spellStart"/>
      <w:r>
        <w:rPr>
          <w:rFonts w:cs="AdvP7C34"/>
        </w:rPr>
        <w:t>внегоспитальной</w:t>
      </w:r>
      <w:proofErr w:type="spellEnd"/>
      <w:r>
        <w:rPr>
          <w:rFonts w:cs="AdvP7C34"/>
        </w:rPr>
        <w:t xml:space="preserve"> пневмонией (А3).</w:t>
      </w:r>
    </w:p>
    <w:p w:rsidR="009945C2" w:rsidRPr="009945C2" w:rsidRDefault="009945C2" w:rsidP="009945C2">
      <w:pPr>
        <w:autoSpaceDE w:val="0"/>
        <w:autoSpaceDN w:val="0"/>
        <w:adjustRightInd w:val="0"/>
        <w:spacing w:after="0" w:line="240" w:lineRule="auto"/>
        <w:rPr>
          <w:rFonts w:cs="AdvP7C2E"/>
        </w:rPr>
      </w:pPr>
      <w:r>
        <w:rPr>
          <w:rFonts w:cs="AdvP7C34"/>
        </w:rPr>
        <w:t xml:space="preserve">Серологическое исследование при инфекциях, вызванных </w:t>
      </w:r>
      <w:proofErr w:type="spellStart"/>
      <w:r w:rsidRPr="009945C2">
        <w:rPr>
          <w:rFonts w:cs="AdvP7C34"/>
        </w:rPr>
        <w:t>Mycoplasma</w:t>
      </w:r>
      <w:proofErr w:type="spellEnd"/>
      <w:r w:rsidRPr="009945C2">
        <w:rPr>
          <w:rFonts w:cs="AdvP7C34"/>
        </w:rPr>
        <w:t xml:space="preserve"> </w:t>
      </w:r>
      <w:proofErr w:type="spellStart"/>
      <w:r w:rsidRPr="009945C2">
        <w:rPr>
          <w:rFonts w:cs="AdvP7C34"/>
        </w:rPr>
        <w:t>pneumoniae</w:t>
      </w:r>
      <w:proofErr w:type="spellEnd"/>
      <w:r w:rsidRPr="009945C2">
        <w:rPr>
          <w:rFonts w:cs="AdvP7C2E"/>
        </w:rPr>
        <w:t>,</w:t>
      </w:r>
    </w:p>
    <w:p w:rsidR="009945C2" w:rsidRDefault="009945C2" w:rsidP="009945C2">
      <w:pPr>
        <w:rPr>
          <w:rFonts w:cs="AdvP7C2E"/>
        </w:rPr>
      </w:pPr>
      <w:proofErr w:type="spellStart"/>
      <w:r w:rsidRPr="009945C2">
        <w:rPr>
          <w:rFonts w:cs="AdvP7C34"/>
        </w:rPr>
        <w:t>Chlamydia</w:t>
      </w:r>
      <w:proofErr w:type="spellEnd"/>
      <w:r w:rsidRPr="009945C2">
        <w:rPr>
          <w:rFonts w:cs="AdvP7C34"/>
        </w:rPr>
        <w:t xml:space="preserve"> </w:t>
      </w:r>
      <w:proofErr w:type="spellStart"/>
      <w:r w:rsidRPr="009945C2">
        <w:rPr>
          <w:rFonts w:cs="AdvP7C34"/>
        </w:rPr>
        <w:t>pneumoniae</w:t>
      </w:r>
      <w:proofErr w:type="spellEnd"/>
      <w:r w:rsidRPr="009945C2">
        <w:rPr>
          <w:rFonts w:cs="AdvP7C34"/>
        </w:rPr>
        <w:t xml:space="preserve"> </w:t>
      </w:r>
      <w:r w:rsidRPr="009945C2">
        <w:rPr>
          <w:rFonts w:cs="AdvP7C2E"/>
        </w:rPr>
        <w:t xml:space="preserve">и </w:t>
      </w:r>
      <w:proofErr w:type="spellStart"/>
      <w:r w:rsidRPr="009945C2">
        <w:rPr>
          <w:rFonts w:cs="AdvP7C2E"/>
        </w:rPr>
        <w:t>Legionella</w:t>
      </w:r>
      <w:proofErr w:type="spellEnd"/>
      <w:r>
        <w:rPr>
          <w:rFonts w:cs="AdvP7C2E"/>
        </w:rPr>
        <w:t>, более обоснованно при проведении эпидемиологических исследований, чем как рутинный метод при ведении конкретного пациента (А3).</w:t>
      </w:r>
    </w:p>
    <w:p w:rsidR="00AB02DE" w:rsidRDefault="00AB02DE" w:rsidP="009945C2">
      <w:pPr>
        <w:rPr>
          <w:rFonts w:cs="AdvP7C2E"/>
          <w:i/>
        </w:rPr>
      </w:pPr>
      <w:r>
        <w:rPr>
          <w:rFonts w:cs="AdvP7C2E"/>
          <w:i/>
        </w:rPr>
        <w:t xml:space="preserve">Используются ли молекулярные методы при диагностике </w:t>
      </w:r>
      <w:proofErr w:type="spellStart"/>
      <w:r>
        <w:rPr>
          <w:rFonts w:cs="AdvP7C2E"/>
          <w:i/>
        </w:rPr>
        <w:t>внегоспитальной</w:t>
      </w:r>
      <w:proofErr w:type="spellEnd"/>
      <w:r>
        <w:rPr>
          <w:rFonts w:cs="AdvP7C2E"/>
          <w:i/>
        </w:rPr>
        <w:t xml:space="preserve"> пневмонии?</w:t>
      </w:r>
    </w:p>
    <w:p w:rsidR="00FF0AA6" w:rsidRDefault="00173599" w:rsidP="009945C2">
      <w:pPr>
        <w:rPr>
          <w:rFonts w:cs="AdvP7C2E"/>
        </w:rPr>
      </w:pPr>
      <w:r>
        <w:rPr>
          <w:rFonts w:cs="AdvP7C2E"/>
        </w:rPr>
        <w:t>Проведение молекулярных методов исследования для идентификации вируса гриппа и респираторно-синцитиального в</w:t>
      </w:r>
      <w:r w:rsidRPr="00173599">
        <w:rPr>
          <w:rFonts w:cs="AdvP7C2E"/>
        </w:rPr>
        <w:t>ирус</w:t>
      </w:r>
      <w:r>
        <w:rPr>
          <w:rFonts w:cs="AdvP7C2E"/>
        </w:rPr>
        <w:t xml:space="preserve">а (РСВ) оправдано в течение зимнего периода, а также при подозрении на </w:t>
      </w:r>
      <w:proofErr w:type="spellStart"/>
      <w:r>
        <w:rPr>
          <w:rFonts w:cs="AdvP7C2E"/>
        </w:rPr>
        <w:t>атипичную</w:t>
      </w:r>
      <w:proofErr w:type="spellEnd"/>
      <w:r>
        <w:rPr>
          <w:rFonts w:cs="AdvP7C2E"/>
        </w:rPr>
        <w:t xml:space="preserve"> пневмонию, так как данные методы позволяют быстро получить результат, что важно при выборе терапевтической тактики</w:t>
      </w:r>
      <w:r w:rsidR="00FF0AA6">
        <w:rPr>
          <w:rFonts w:cs="AdvP7C2E"/>
        </w:rPr>
        <w:t xml:space="preserve"> (А3)</w:t>
      </w:r>
      <w:r w:rsidR="00EA1823">
        <w:rPr>
          <w:rFonts w:cs="AdvP7C2E"/>
        </w:rPr>
        <w:t>.</w:t>
      </w:r>
    </w:p>
    <w:p w:rsidR="00AB02DE" w:rsidRDefault="007C2129" w:rsidP="009945C2">
      <w:pPr>
        <w:rPr>
          <w:rFonts w:cs="AdvP7C2E"/>
          <w:i/>
        </w:rPr>
      </w:pPr>
      <w:r>
        <w:rPr>
          <w:rFonts w:cs="AdvP7C2E"/>
          <w:i/>
        </w:rPr>
        <w:t xml:space="preserve">Как выбрать тактику </w:t>
      </w:r>
      <w:r w:rsidR="007F39B1">
        <w:rPr>
          <w:rFonts w:cs="AdvP7C2E"/>
          <w:i/>
        </w:rPr>
        <w:t>лечения</w:t>
      </w:r>
      <w:r w:rsidR="00EA1823">
        <w:rPr>
          <w:rFonts w:cs="AdvP7C2E"/>
          <w:i/>
        </w:rPr>
        <w:t>?</w:t>
      </w:r>
    </w:p>
    <w:p w:rsidR="00786983" w:rsidRDefault="00786983" w:rsidP="009945C2">
      <w:pPr>
        <w:rPr>
          <w:rFonts w:cs="AdvP7C2E"/>
        </w:rPr>
      </w:pPr>
      <w:r>
        <w:rPr>
          <w:rFonts w:cs="AdvP7C2E"/>
        </w:rPr>
        <w:t>Антибактериальная</w:t>
      </w:r>
      <w:r w:rsidR="00F576F2">
        <w:rPr>
          <w:rFonts w:cs="AdvP7C2E"/>
        </w:rPr>
        <w:t xml:space="preserve"> терапия, будучи эмпирической</w:t>
      </w:r>
      <w:r>
        <w:rPr>
          <w:rFonts w:cs="AdvP7C2E"/>
        </w:rPr>
        <w:t>, должна проводиться исходя из индивидуального риска смертности. Определение тяжести пневмонии как лёгкой, средней тяжести и тяжёлой влияет на решение о тактике ведения пациента (амбулаторное, стационарное лечение, ОРИТ</w:t>
      </w:r>
      <w:r w:rsidR="00D33844">
        <w:rPr>
          <w:rFonts w:cs="AdvP7C2E"/>
        </w:rPr>
        <w:t>;</w:t>
      </w:r>
      <w:r>
        <w:rPr>
          <w:rFonts w:cs="AdvP7C2E"/>
        </w:rPr>
        <w:t xml:space="preserve">  А</w:t>
      </w:r>
      <w:proofErr w:type="gramStart"/>
      <w:r>
        <w:rPr>
          <w:rFonts w:cs="AdvP7C2E"/>
        </w:rPr>
        <w:t>4</w:t>
      </w:r>
      <w:proofErr w:type="gramEnd"/>
      <w:r>
        <w:rPr>
          <w:rFonts w:cs="AdvP7C2E"/>
        </w:rPr>
        <w:t>). Антибактериальная терапия должна начинаться как можно раньше (А3).</w:t>
      </w:r>
    </w:p>
    <w:p w:rsidR="009F55D7" w:rsidRDefault="00F576F2" w:rsidP="009945C2">
      <w:pPr>
        <w:rPr>
          <w:rFonts w:cs="AdvP7C2E"/>
        </w:rPr>
      </w:pPr>
      <w:r>
        <w:rPr>
          <w:rFonts w:cs="AdvP7C2E"/>
        </w:rPr>
        <w:t>При начале эмпирической</w:t>
      </w:r>
      <w:r w:rsidR="009F55D7">
        <w:rPr>
          <w:rFonts w:cs="AdvP7C2E"/>
        </w:rPr>
        <w:t xml:space="preserve"> </w:t>
      </w:r>
      <w:r w:rsidR="005813AB">
        <w:rPr>
          <w:rFonts w:cs="AdvP7C2E"/>
        </w:rPr>
        <w:t xml:space="preserve">антибактериальной терапии </w:t>
      </w:r>
      <w:r w:rsidR="00D33844">
        <w:rPr>
          <w:rFonts w:cs="AdvP7C2E"/>
        </w:rPr>
        <w:t>нужно</w:t>
      </w:r>
      <w:r w:rsidR="005813AB">
        <w:rPr>
          <w:rFonts w:cs="AdvP7C2E"/>
        </w:rPr>
        <w:t xml:space="preserve"> следовать следующим рекомендациям: 1) учитывать предполагаемого возбудителя в зависимости от тяжести пневмонии и дополнительных факторов риска; 2) учитывать региональную и местную микробную </w:t>
      </w:r>
      <w:proofErr w:type="spellStart"/>
      <w:r w:rsidR="005813AB">
        <w:rPr>
          <w:rFonts w:cs="AdvP7C2E"/>
        </w:rPr>
        <w:t>резистентность</w:t>
      </w:r>
      <w:proofErr w:type="spellEnd"/>
      <w:r w:rsidR="005813AB">
        <w:rPr>
          <w:rFonts w:cs="AdvP7C2E"/>
        </w:rPr>
        <w:t xml:space="preserve">; 3) учитывать переносимость и токсичность </w:t>
      </w:r>
      <w:proofErr w:type="spellStart"/>
      <w:r w:rsidR="005813AB">
        <w:rPr>
          <w:rFonts w:cs="AdvP7C2E"/>
        </w:rPr>
        <w:t>антимикробных</w:t>
      </w:r>
      <w:proofErr w:type="spellEnd"/>
      <w:r w:rsidR="005813AB">
        <w:rPr>
          <w:rFonts w:cs="AdvP7C2E"/>
        </w:rPr>
        <w:t xml:space="preserve"> препаратов в каждом конкретном случае.</w:t>
      </w:r>
    </w:p>
    <w:p w:rsidR="00645A20" w:rsidRDefault="00645A20" w:rsidP="009945C2">
      <w:pPr>
        <w:rPr>
          <w:rFonts w:cs="AdvP7C2E"/>
          <w:i/>
        </w:rPr>
      </w:pPr>
      <w:r>
        <w:rPr>
          <w:rFonts w:cs="AdvP7C2E"/>
          <w:i/>
        </w:rPr>
        <w:t xml:space="preserve">Каковы </w:t>
      </w:r>
      <w:r w:rsidR="007F08DA" w:rsidRPr="00D9477C">
        <w:rPr>
          <w:rFonts w:cs="AdvP7C2E"/>
          <w:i/>
        </w:rPr>
        <w:t>рекомендации</w:t>
      </w:r>
      <w:r w:rsidRPr="00D9477C">
        <w:rPr>
          <w:rFonts w:cs="AdvP7C2E"/>
          <w:i/>
        </w:rPr>
        <w:t xml:space="preserve"> </w:t>
      </w:r>
      <w:proofErr w:type="gramStart"/>
      <w:r w:rsidRPr="00D9477C">
        <w:rPr>
          <w:rFonts w:cs="AdvP7C2E"/>
          <w:i/>
        </w:rPr>
        <w:t>по началу</w:t>
      </w:r>
      <w:proofErr w:type="gramEnd"/>
      <w:r w:rsidRPr="00D9477C">
        <w:rPr>
          <w:rFonts w:cs="AdvP7C2E"/>
          <w:i/>
        </w:rPr>
        <w:t xml:space="preserve"> </w:t>
      </w:r>
      <w:r w:rsidR="00F576F2" w:rsidRPr="00D9477C">
        <w:rPr>
          <w:rFonts w:cs="AdvP7C2E"/>
          <w:i/>
        </w:rPr>
        <w:t xml:space="preserve">эмпирической </w:t>
      </w:r>
      <w:r w:rsidR="00D9477C" w:rsidRPr="00D9477C">
        <w:rPr>
          <w:rFonts w:cs="AdvP7C2E"/>
          <w:i/>
        </w:rPr>
        <w:t xml:space="preserve">антибактериальной </w:t>
      </w:r>
      <w:r w:rsidR="007F08DA" w:rsidRPr="00D9477C">
        <w:rPr>
          <w:rFonts w:cs="AdvP7C2E"/>
          <w:i/>
        </w:rPr>
        <w:t>терапии</w:t>
      </w:r>
      <w:r w:rsidR="007F08DA">
        <w:rPr>
          <w:rFonts w:cs="AdvP7C2E"/>
          <w:i/>
        </w:rPr>
        <w:t>?</w:t>
      </w:r>
    </w:p>
    <w:p w:rsidR="007F08DA" w:rsidRDefault="007F08DA" w:rsidP="002D5392">
      <w:pPr>
        <w:rPr>
          <w:rFonts w:cs="AdvP7C2E"/>
        </w:rPr>
      </w:pPr>
      <w:r>
        <w:rPr>
          <w:rFonts w:cs="AdvP7C2E"/>
        </w:rPr>
        <w:t xml:space="preserve">Рекомендации по началу лечения госпитализированных пациентов с </w:t>
      </w:r>
      <w:proofErr w:type="spellStart"/>
      <w:r>
        <w:rPr>
          <w:rFonts w:cs="AdvP7C2E"/>
        </w:rPr>
        <w:t>внегоспитальной</w:t>
      </w:r>
      <w:proofErr w:type="spellEnd"/>
      <w:r>
        <w:rPr>
          <w:rFonts w:cs="AdvP7C2E"/>
        </w:rPr>
        <w:t xml:space="preserve"> пневмонией средней тяжести и тяжёлой представлены в таблицах 3 и 4 соответственно.</w:t>
      </w:r>
    </w:p>
    <w:p w:rsidR="0008348C" w:rsidRDefault="0008348C" w:rsidP="002D5392">
      <w:pPr>
        <w:rPr>
          <w:rFonts w:cs="AdvP7C2E"/>
        </w:rPr>
      </w:pPr>
      <w:r>
        <w:rPr>
          <w:rFonts w:cs="AdvP7C2E"/>
        </w:rPr>
        <w:t xml:space="preserve">Таблица 3 Препараты выбора и альтернативные препараты, используемые при лечение госпитализированных пациентов с </w:t>
      </w:r>
      <w:proofErr w:type="spellStart"/>
      <w:r>
        <w:rPr>
          <w:rFonts w:cs="AdvP7C2E"/>
        </w:rPr>
        <w:t>внегоспитальной</w:t>
      </w:r>
      <w:proofErr w:type="spellEnd"/>
      <w:r>
        <w:rPr>
          <w:rFonts w:cs="AdvP7C2E"/>
        </w:rPr>
        <w:t xml:space="preserve"> пневмонией средней степени тяжести (С</w:t>
      </w:r>
      <w:proofErr w:type="gramStart"/>
      <w:r>
        <w:rPr>
          <w:rFonts w:cs="AdvP7C2E"/>
        </w:rPr>
        <w:t>4</w:t>
      </w:r>
      <w:proofErr w:type="gramEnd"/>
      <w:r>
        <w:rPr>
          <w:rFonts w:cs="AdvP7C2E"/>
        </w:rPr>
        <w:t xml:space="preserve">) </w:t>
      </w:r>
      <w:r w:rsidRPr="00167E3E">
        <w:rPr>
          <w:rFonts w:cs="AdvP7C2E"/>
        </w:rPr>
        <w:t>(кроме особых случаев).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8348C" w:rsidTr="0008348C">
        <w:tc>
          <w:tcPr>
            <w:tcW w:w="4785" w:type="dxa"/>
          </w:tcPr>
          <w:p w:rsidR="0008348C" w:rsidRPr="00A71257" w:rsidRDefault="0008348C" w:rsidP="002D5392">
            <w:pPr>
              <w:spacing w:after="200" w:line="276" w:lineRule="auto"/>
              <w:rPr>
                <w:rFonts w:cs="AdvP7C2E"/>
                <w:b/>
                <w:vertAlign w:val="superscript"/>
              </w:rPr>
            </w:pPr>
            <w:r>
              <w:rPr>
                <w:rFonts w:cs="AdvP7C2E"/>
                <w:b/>
              </w:rPr>
              <w:lastRenderedPageBreak/>
              <w:t>Препараты выбора</w:t>
            </w:r>
            <w:proofErr w:type="gramStart"/>
            <w:r w:rsidR="00A71257">
              <w:rPr>
                <w:rFonts w:cs="AdvP7C2E"/>
                <w:b/>
                <w:vertAlign w:val="superscript"/>
              </w:rPr>
              <w:t>1</w:t>
            </w:r>
            <w:proofErr w:type="gramEnd"/>
          </w:p>
        </w:tc>
        <w:tc>
          <w:tcPr>
            <w:tcW w:w="4786" w:type="dxa"/>
          </w:tcPr>
          <w:p w:rsidR="0008348C" w:rsidRPr="00A71257" w:rsidRDefault="0008348C" w:rsidP="002D5392">
            <w:pPr>
              <w:spacing w:after="200" w:line="276" w:lineRule="auto"/>
              <w:rPr>
                <w:rFonts w:cs="AdvP7C2E"/>
                <w:b/>
                <w:vertAlign w:val="superscript"/>
              </w:rPr>
            </w:pPr>
            <w:r>
              <w:rPr>
                <w:rFonts w:cs="AdvP7C2E"/>
                <w:b/>
              </w:rPr>
              <w:t>Альтернативные препараты</w:t>
            </w:r>
            <w:proofErr w:type="gramStart"/>
            <w:r w:rsidR="00A71257">
              <w:rPr>
                <w:rFonts w:cs="AdvP7C2E"/>
                <w:b/>
                <w:vertAlign w:val="superscript"/>
              </w:rPr>
              <w:t>2</w:t>
            </w:r>
            <w:proofErr w:type="gramEnd"/>
          </w:p>
        </w:tc>
      </w:tr>
      <w:tr w:rsidR="0008348C" w:rsidTr="0008348C">
        <w:tc>
          <w:tcPr>
            <w:tcW w:w="4785" w:type="dxa"/>
          </w:tcPr>
          <w:p w:rsidR="0008348C" w:rsidRDefault="0008348C" w:rsidP="002D5392">
            <w:pPr>
              <w:spacing w:after="200" w:line="276" w:lineRule="auto"/>
            </w:pPr>
            <w:r>
              <w:t xml:space="preserve">Пенициллин </w:t>
            </w:r>
            <w:r>
              <w:rPr>
                <w:lang w:val="en-US"/>
              </w:rPr>
              <w:t>G</w:t>
            </w:r>
            <w:r w:rsidRPr="00A970B6">
              <w:t>±</w:t>
            </w:r>
            <w:r>
              <w:t>макролиды</w:t>
            </w:r>
            <w:r w:rsidR="00F504C5">
              <w:rPr>
                <w:vertAlign w:val="superscript"/>
              </w:rPr>
              <w:t>3</w:t>
            </w:r>
            <w:r>
              <w:t>;</w:t>
            </w:r>
          </w:p>
          <w:p w:rsidR="0008348C" w:rsidRDefault="0008348C" w:rsidP="002D5392">
            <w:pPr>
              <w:spacing w:after="200" w:line="276" w:lineRule="auto"/>
            </w:pPr>
            <w:r>
              <w:t>Аминопенициллин</w:t>
            </w:r>
            <w:r w:rsidRPr="00A970B6">
              <w:t>±</w:t>
            </w:r>
            <w:r>
              <w:t>макролиды</w:t>
            </w:r>
            <w:r w:rsidR="00F504C5">
              <w:rPr>
                <w:vertAlign w:val="superscript"/>
              </w:rPr>
              <w:t>3</w:t>
            </w:r>
            <w:r w:rsidR="002D47BD">
              <w:rPr>
                <w:vertAlign w:val="superscript"/>
              </w:rPr>
              <w:t>,4</w:t>
            </w:r>
            <w:r>
              <w:t xml:space="preserve">; </w:t>
            </w:r>
          </w:p>
          <w:p w:rsidR="0008348C" w:rsidRDefault="0008348C" w:rsidP="002D5392">
            <w:pPr>
              <w:spacing w:after="200" w:line="276" w:lineRule="auto"/>
            </w:pPr>
            <w:proofErr w:type="spellStart"/>
            <w:r>
              <w:t>Аминопенициллин</w:t>
            </w:r>
            <w:proofErr w:type="spellEnd"/>
            <w:r>
              <w:t xml:space="preserve">/ингибитор </w:t>
            </w:r>
            <w:proofErr w:type="gramStart"/>
            <w:r>
              <w:t>β-</w:t>
            </w:r>
            <w:proofErr w:type="gramEnd"/>
            <w:r>
              <w:t>лактамазы</w:t>
            </w:r>
            <w:r w:rsidR="002D47BD">
              <w:rPr>
                <w:vertAlign w:val="superscript"/>
              </w:rPr>
              <w:t>4</w:t>
            </w:r>
            <w:r w:rsidRPr="00A970B6">
              <w:t>±</w:t>
            </w:r>
            <w:r>
              <w:t>макролиды</w:t>
            </w:r>
            <w:r w:rsidR="00F504C5">
              <w:rPr>
                <w:vertAlign w:val="superscript"/>
              </w:rPr>
              <w:t>3</w:t>
            </w:r>
            <w:r>
              <w:t>;</w:t>
            </w:r>
          </w:p>
          <w:p w:rsidR="0008348C" w:rsidRPr="00F504C5" w:rsidRDefault="0008348C" w:rsidP="002D5392">
            <w:pPr>
              <w:spacing w:after="200" w:line="276" w:lineRule="auto"/>
              <w:rPr>
                <w:rFonts w:cs="AdvP7C2E"/>
                <w:vertAlign w:val="superscript"/>
              </w:rPr>
            </w:pPr>
            <w:proofErr w:type="spellStart"/>
            <w:r>
              <w:rPr>
                <w:rFonts w:cs="AdvP7C2E"/>
              </w:rPr>
              <w:t>Неантипс</w:t>
            </w:r>
            <w:r w:rsidR="003F1139">
              <w:rPr>
                <w:rFonts w:cs="AdvP7C2E"/>
              </w:rPr>
              <w:t>е</w:t>
            </w:r>
            <w:r>
              <w:rPr>
                <w:rFonts w:cs="AdvP7C2E"/>
              </w:rPr>
              <w:t>вдомонадные</w:t>
            </w:r>
            <w:proofErr w:type="spellEnd"/>
            <w:r>
              <w:rPr>
                <w:rFonts w:cs="AdvP7C2E"/>
              </w:rPr>
              <w:t xml:space="preserve"> </w:t>
            </w:r>
            <w:proofErr w:type="spellStart"/>
            <w:r>
              <w:rPr>
                <w:rFonts w:cs="AdvP7C2E"/>
              </w:rPr>
              <w:t>цефалоспорины</w:t>
            </w:r>
            <w:proofErr w:type="spellEnd"/>
            <w:r w:rsidR="003F1139">
              <w:rPr>
                <w:rFonts w:cs="AdvP7C2E"/>
              </w:rPr>
              <w:t xml:space="preserve"> </w:t>
            </w:r>
            <w:r w:rsidR="003F1139">
              <w:rPr>
                <w:rFonts w:cs="AdvP7C2E"/>
                <w:lang w:val="en-US"/>
              </w:rPr>
              <w:t>II</w:t>
            </w:r>
            <w:r w:rsidR="003F1139" w:rsidRPr="003F1139">
              <w:rPr>
                <w:rFonts w:cs="AdvP7C2E"/>
              </w:rPr>
              <w:t xml:space="preserve"> </w:t>
            </w:r>
            <w:r w:rsidR="003F1139">
              <w:rPr>
                <w:rFonts w:cs="AdvP7C2E"/>
              </w:rPr>
              <w:t>или</w:t>
            </w:r>
            <w:r w:rsidR="003F1139" w:rsidRPr="003F1139">
              <w:rPr>
                <w:rFonts w:cs="AdvP7C2E"/>
              </w:rPr>
              <w:t xml:space="preserve"> </w:t>
            </w:r>
            <w:r w:rsidR="003F1139">
              <w:rPr>
                <w:rFonts w:cs="AdvP7C2E"/>
                <w:lang w:val="en-US"/>
              </w:rPr>
              <w:t>III</w:t>
            </w:r>
            <w:r w:rsidR="003F1139" w:rsidRPr="00A970B6">
              <w:t>±</w:t>
            </w:r>
            <w:r w:rsidR="003F1139">
              <w:t>макролиды</w:t>
            </w:r>
            <w:r w:rsidR="00F504C5">
              <w:rPr>
                <w:vertAlign w:val="superscript"/>
              </w:rPr>
              <w:t>3</w:t>
            </w:r>
          </w:p>
        </w:tc>
        <w:tc>
          <w:tcPr>
            <w:tcW w:w="4786" w:type="dxa"/>
          </w:tcPr>
          <w:p w:rsidR="003F1139" w:rsidRPr="002D47BD" w:rsidRDefault="003F1139" w:rsidP="002D5392">
            <w:pPr>
              <w:spacing w:after="200" w:line="276" w:lineRule="auto"/>
              <w:rPr>
                <w:rFonts w:cs="AdvP7C2E"/>
                <w:vertAlign w:val="superscript"/>
              </w:rPr>
            </w:pPr>
            <w:r>
              <w:rPr>
                <w:rFonts w:cs="AdvP7C2E"/>
              </w:rPr>
              <w:t>Левофлоксацин</w:t>
            </w:r>
            <w:proofErr w:type="gramStart"/>
            <w:r w:rsidR="002D47BD">
              <w:rPr>
                <w:rFonts w:cs="AdvP7C2E"/>
                <w:vertAlign w:val="superscript"/>
              </w:rPr>
              <w:t>4</w:t>
            </w:r>
            <w:proofErr w:type="gramEnd"/>
          </w:p>
          <w:p w:rsidR="003F1139" w:rsidRPr="002D47BD" w:rsidRDefault="00A23105" w:rsidP="002D5392">
            <w:pPr>
              <w:spacing w:after="200" w:line="276" w:lineRule="auto"/>
              <w:rPr>
                <w:rFonts w:cs="AdvP7C2E"/>
                <w:vertAlign w:val="superscript"/>
              </w:rPr>
            </w:pPr>
            <w:r>
              <w:rPr>
                <w:rFonts w:cs="AdvP7C2E"/>
              </w:rPr>
              <w:t>Мо</w:t>
            </w:r>
            <w:r w:rsidR="003F1139">
              <w:rPr>
                <w:rFonts w:cs="AdvP7C2E"/>
              </w:rPr>
              <w:t>ксифлоксацин</w:t>
            </w:r>
            <w:proofErr w:type="gramStart"/>
            <w:r w:rsidR="002D47BD">
              <w:rPr>
                <w:rFonts w:cs="AdvP7C2E"/>
                <w:vertAlign w:val="superscript"/>
              </w:rPr>
              <w:t>4</w:t>
            </w:r>
            <w:proofErr w:type="gramEnd"/>
            <w:r>
              <w:rPr>
                <w:rFonts w:cs="AdvP7C2E"/>
                <w:vertAlign w:val="superscript"/>
              </w:rPr>
              <w:t>,5</w:t>
            </w:r>
          </w:p>
        </w:tc>
      </w:tr>
    </w:tbl>
    <w:p w:rsidR="0008348C" w:rsidRDefault="00A71257" w:rsidP="002D5392">
      <w:pPr>
        <w:rPr>
          <w:rFonts w:cs="AdvPECF811"/>
        </w:rPr>
      </w:pPr>
      <w:proofErr w:type="gramStart"/>
      <w:r>
        <w:rPr>
          <w:rFonts w:cs="AdvP7C2E"/>
          <w:vertAlign w:val="superscript"/>
        </w:rPr>
        <w:t>1</w:t>
      </w:r>
      <w:r>
        <w:rPr>
          <w:rFonts w:cs="AdvP7C2E"/>
        </w:rPr>
        <w:t xml:space="preserve">: в регионах с низким уровнем </w:t>
      </w:r>
      <w:proofErr w:type="spellStart"/>
      <w:r>
        <w:rPr>
          <w:rFonts w:cs="AdvP7C2E"/>
        </w:rPr>
        <w:t>резистентности</w:t>
      </w:r>
      <w:proofErr w:type="spellEnd"/>
      <w:r>
        <w:rPr>
          <w:rFonts w:cs="AdvP7C2E"/>
        </w:rPr>
        <w:t xml:space="preserve"> пневмококка; </w:t>
      </w:r>
      <w:r>
        <w:rPr>
          <w:rFonts w:cs="AdvP7C2E"/>
          <w:vertAlign w:val="superscript"/>
        </w:rPr>
        <w:t>2</w:t>
      </w:r>
      <w:r>
        <w:rPr>
          <w:rFonts w:cs="AdvP7C2E"/>
        </w:rPr>
        <w:t xml:space="preserve">: в регионах с повышенным уровнем </w:t>
      </w:r>
      <w:proofErr w:type="spellStart"/>
      <w:r>
        <w:rPr>
          <w:rFonts w:cs="AdvP7C2E"/>
        </w:rPr>
        <w:t>резистентности</w:t>
      </w:r>
      <w:proofErr w:type="spellEnd"/>
      <w:r>
        <w:rPr>
          <w:rFonts w:cs="AdvP7C2E"/>
        </w:rPr>
        <w:t xml:space="preserve"> пневмококка или при непереносимости препаратов выбора;</w:t>
      </w:r>
      <w:r w:rsidR="00F504C5">
        <w:rPr>
          <w:rFonts w:cs="AdvP7C2E"/>
        </w:rPr>
        <w:t xml:space="preserve"> </w:t>
      </w:r>
      <w:r w:rsidR="00F504C5">
        <w:rPr>
          <w:rFonts w:cs="AdvP7C2E"/>
          <w:vertAlign w:val="superscript"/>
        </w:rPr>
        <w:t>3</w:t>
      </w:r>
      <w:r w:rsidR="00F504C5">
        <w:rPr>
          <w:rFonts w:cs="AdvP7C2E"/>
        </w:rPr>
        <w:t xml:space="preserve">: </w:t>
      </w:r>
      <w:r w:rsidR="00AB6C2A" w:rsidRPr="00AB6C2A">
        <w:rPr>
          <w:rFonts w:cs="AdvP7C2E"/>
        </w:rPr>
        <w:t xml:space="preserve">новые </w:t>
      </w:r>
      <w:proofErr w:type="spellStart"/>
      <w:r w:rsidR="00AB6C2A" w:rsidRPr="00AB6C2A">
        <w:rPr>
          <w:rFonts w:cs="AdvP7C2E"/>
        </w:rPr>
        <w:t>макролиды</w:t>
      </w:r>
      <w:proofErr w:type="spellEnd"/>
      <w:r w:rsidR="00AB6C2A" w:rsidRPr="00AB6C2A">
        <w:rPr>
          <w:rFonts w:cs="AdvP7C2E"/>
        </w:rPr>
        <w:t xml:space="preserve"> предпочтительны по сравнению с</w:t>
      </w:r>
      <w:r w:rsidR="00F504C5" w:rsidRPr="00AB6C2A">
        <w:rPr>
          <w:rFonts w:cs="AdvP7C2E"/>
        </w:rPr>
        <w:t xml:space="preserve"> </w:t>
      </w:r>
      <w:proofErr w:type="spellStart"/>
      <w:r w:rsidR="00F504C5" w:rsidRPr="00AB6C2A">
        <w:rPr>
          <w:rFonts w:cs="AdvP7C2E"/>
        </w:rPr>
        <w:t>эритромицин</w:t>
      </w:r>
      <w:r w:rsidR="00AB6C2A">
        <w:rPr>
          <w:rFonts w:cs="AdvP7C2E"/>
        </w:rPr>
        <w:t>ом</w:t>
      </w:r>
      <w:proofErr w:type="spellEnd"/>
      <w:r w:rsidR="00DE3B75">
        <w:rPr>
          <w:rFonts w:cs="AdvP7C2E"/>
        </w:rPr>
        <w:t xml:space="preserve">; </w:t>
      </w:r>
      <w:r w:rsidR="002D47BD">
        <w:rPr>
          <w:rFonts w:cs="AdvP7C2E"/>
          <w:vertAlign w:val="superscript"/>
        </w:rPr>
        <w:t>4</w:t>
      </w:r>
      <w:r w:rsidR="002D47BD" w:rsidRPr="00AB6C2A">
        <w:rPr>
          <w:rFonts w:cs="AdvP7C2E"/>
        </w:rPr>
        <w:t>: могут использоваться в качестве последовательной терапии с применением тех же препаратов</w:t>
      </w:r>
      <w:r w:rsidR="00A23105">
        <w:rPr>
          <w:rFonts w:cs="AdvP7C2E"/>
        </w:rPr>
        <w:t xml:space="preserve">; </w:t>
      </w:r>
      <w:r w:rsidR="00A23105">
        <w:rPr>
          <w:rFonts w:cs="AdvP7C2E"/>
          <w:vertAlign w:val="superscript"/>
        </w:rPr>
        <w:t>5</w:t>
      </w:r>
      <w:r w:rsidR="00A23105">
        <w:rPr>
          <w:rFonts w:cs="AdvP7C2E"/>
        </w:rPr>
        <w:t xml:space="preserve">: среди </w:t>
      </w:r>
      <w:proofErr w:type="spellStart"/>
      <w:r w:rsidR="00A23105">
        <w:rPr>
          <w:rFonts w:cs="AdvP7C2E"/>
        </w:rPr>
        <w:t>фторхинолонов</w:t>
      </w:r>
      <w:proofErr w:type="spellEnd"/>
      <w:r w:rsidR="00A23105">
        <w:rPr>
          <w:rFonts w:cs="AdvP7C2E"/>
        </w:rPr>
        <w:t xml:space="preserve"> </w:t>
      </w:r>
      <w:proofErr w:type="spellStart"/>
      <w:r w:rsidR="00A23105">
        <w:rPr>
          <w:rFonts w:cs="AdvP7C2E"/>
        </w:rPr>
        <w:t>моксифлоксациц</w:t>
      </w:r>
      <w:proofErr w:type="spellEnd"/>
      <w:r w:rsidR="00A23105">
        <w:rPr>
          <w:rFonts w:cs="AdvP7C2E"/>
        </w:rPr>
        <w:t xml:space="preserve"> обладает максимальной </w:t>
      </w:r>
      <w:proofErr w:type="spellStart"/>
      <w:r w:rsidR="00A23105">
        <w:rPr>
          <w:rFonts w:cs="AdvP7C2E"/>
        </w:rPr>
        <w:t>антипневмококковой</w:t>
      </w:r>
      <w:proofErr w:type="spellEnd"/>
      <w:r w:rsidR="00A23105">
        <w:rPr>
          <w:rFonts w:cs="AdvP7C2E"/>
        </w:rPr>
        <w:t xml:space="preserve"> активностью.</w:t>
      </w:r>
      <w:proofErr w:type="gramEnd"/>
      <w:r w:rsidR="00A23105">
        <w:rPr>
          <w:rFonts w:cs="AdvP7C2E"/>
        </w:rPr>
        <w:t xml:space="preserve"> Исследование </w:t>
      </w:r>
      <w:proofErr w:type="spellStart"/>
      <w:r w:rsidR="00A23105">
        <w:rPr>
          <w:rFonts w:cs="AdvP7C2E"/>
        </w:rPr>
        <w:t>кетолидов</w:t>
      </w:r>
      <w:proofErr w:type="spellEnd"/>
      <w:r w:rsidR="00A23105">
        <w:rPr>
          <w:rFonts w:cs="AdvP7C2E"/>
        </w:rPr>
        <w:t xml:space="preserve"> </w:t>
      </w:r>
      <w:r w:rsidR="007F6E47">
        <w:rPr>
          <w:rFonts w:cs="AdvP7C2E"/>
        </w:rPr>
        <w:t xml:space="preserve">ограничено, однако они могут назначаться в качестве альтернативной терапии при возможности </w:t>
      </w:r>
      <w:proofErr w:type="spellStart"/>
      <w:r w:rsidR="007F6E47">
        <w:rPr>
          <w:rFonts w:cs="AdvP7C2E"/>
        </w:rPr>
        <w:t>перорального</w:t>
      </w:r>
      <w:proofErr w:type="spellEnd"/>
      <w:r w:rsidR="007F6E47">
        <w:rPr>
          <w:rFonts w:cs="AdvP7C2E"/>
        </w:rPr>
        <w:t xml:space="preserve"> приёма. </w:t>
      </w:r>
      <w:r w:rsidR="007F6E47">
        <w:rPr>
          <w:rFonts w:cs="AdvPECF811"/>
        </w:rPr>
        <w:t xml:space="preserve">Рекомендации по дозам смотри в </w:t>
      </w:r>
      <w:r w:rsidR="007F6E47" w:rsidRPr="00D127A0">
        <w:rPr>
          <w:rFonts w:cs="AdvPECF811"/>
        </w:rPr>
        <w:t xml:space="preserve">Приложении </w:t>
      </w:r>
      <w:r w:rsidR="007F6E47">
        <w:rPr>
          <w:rFonts w:cs="AdvPECF811"/>
        </w:rPr>
        <w:t>3.</w:t>
      </w:r>
    </w:p>
    <w:p w:rsidR="004C21BE" w:rsidRDefault="004C21BE" w:rsidP="002D5392">
      <w:pPr>
        <w:rPr>
          <w:rFonts w:cs="AdvPECF811"/>
        </w:rPr>
      </w:pPr>
      <w:r>
        <w:rPr>
          <w:rFonts w:cs="AdvPECF811"/>
        </w:rPr>
        <w:t xml:space="preserve">Таблица 4 Лечение пациентов с тяжёлой </w:t>
      </w:r>
      <w:proofErr w:type="spellStart"/>
      <w:r>
        <w:rPr>
          <w:rFonts w:cs="AdvPECF811"/>
        </w:rPr>
        <w:t>внегоспитальной</w:t>
      </w:r>
      <w:proofErr w:type="spellEnd"/>
      <w:r>
        <w:rPr>
          <w:rFonts w:cs="AdvPECF811"/>
        </w:rPr>
        <w:t xml:space="preserve"> пневмонией (С</w:t>
      </w:r>
      <w:proofErr w:type="gramStart"/>
      <w:r>
        <w:rPr>
          <w:rFonts w:cs="AdvPECF811"/>
        </w:rPr>
        <w:t>4</w:t>
      </w:r>
      <w:proofErr w:type="gramEnd"/>
      <w:r>
        <w:rPr>
          <w:rFonts w:cs="AdvPECF811"/>
        </w:rPr>
        <w:t>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21BE" w:rsidTr="004C21BE">
        <w:tc>
          <w:tcPr>
            <w:tcW w:w="4785" w:type="dxa"/>
          </w:tcPr>
          <w:p w:rsidR="004C21BE" w:rsidRPr="004C21BE" w:rsidRDefault="004C21BE" w:rsidP="00A87EF4">
            <w:pPr>
              <w:spacing w:after="200" w:line="276" w:lineRule="auto"/>
              <w:rPr>
                <w:rFonts w:cs="AdvP7C2E"/>
                <w:b/>
              </w:rPr>
            </w:pPr>
            <w:r w:rsidRPr="004C21BE">
              <w:rPr>
                <w:b/>
              </w:rPr>
              <w:t>Нет факторов риска</w:t>
            </w:r>
            <w:r w:rsidR="00A87EF4">
              <w:rPr>
                <w:b/>
              </w:rPr>
              <w:t xml:space="preserve"> инфицирования </w:t>
            </w:r>
            <w:proofErr w:type="spellStart"/>
            <w:r w:rsidRPr="004C21BE">
              <w:rPr>
                <w:rFonts w:cs="AdvPECF812"/>
                <w:b/>
              </w:rPr>
              <w:t>P.aeruginosa</w:t>
            </w:r>
            <w:proofErr w:type="spellEnd"/>
            <w:r>
              <w:rPr>
                <w:rFonts w:cs="AdvPECF812"/>
                <w:b/>
              </w:rPr>
              <w:t xml:space="preserve"> (см. таблицу 12)</w:t>
            </w:r>
          </w:p>
        </w:tc>
        <w:tc>
          <w:tcPr>
            <w:tcW w:w="4786" w:type="dxa"/>
          </w:tcPr>
          <w:p w:rsidR="004C21BE" w:rsidRDefault="004C21BE" w:rsidP="002D5392">
            <w:pPr>
              <w:spacing w:after="200" w:line="276" w:lineRule="auto"/>
            </w:pPr>
            <w:proofErr w:type="spellStart"/>
            <w:r>
              <w:rPr>
                <w:rFonts w:cs="AdvP7C2E"/>
              </w:rPr>
              <w:t>Неантипсевдомонадные</w:t>
            </w:r>
            <w:proofErr w:type="spellEnd"/>
            <w:r>
              <w:rPr>
                <w:rFonts w:cs="AdvP7C2E"/>
              </w:rPr>
              <w:t xml:space="preserve"> </w:t>
            </w:r>
            <w:proofErr w:type="spellStart"/>
            <w:r>
              <w:rPr>
                <w:rFonts w:cs="AdvP7C2E"/>
              </w:rPr>
              <w:t>цефалоспорины</w:t>
            </w:r>
            <w:proofErr w:type="spellEnd"/>
            <w:r>
              <w:rPr>
                <w:rFonts w:cs="AdvP7C2E"/>
              </w:rPr>
              <w:t xml:space="preserve"> </w:t>
            </w:r>
            <w:r>
              <w:rPr>
                <w:rFonts w:cs="AdvP7C2E"/>
                <w:lang w:val="en-US"/>
              </w:rPr>
              <w:t>III</w:t>
            </w:r>
            <w:r>
              <w:t>+макролиды</w:t>
            </w:r>
            <w:proofErr w:type="gramStart"/>
            <w:r w:rsidR="00253024">
              <w:rPr>
                <w:vertAlign w:val="superscript"/>
              </w:rPr>
              <w:t>1</w:t>
            </w:r>
            <w:proofErr w:type="gramEnd"/>
            <w:r>
              <w:t xml:space="preserve"> или</w:t>
            </w:r>
          </w:p>
          <w:p w:rsidR="004C21BE" w:rsidRPr="004C21BE" w:rsidRDefault="004C21BE" w:rsidP="002D5392">
            <w:pPr>
              <w:spacing w:after="200" w:line="276" w:lineRule="auto"/>
              <w:rPr>
                <w:rFonts w:cs="AdvP7C2E"/>
              </w:rPr>
            </w:pPr>
            <w:proofErr w:type="spellStart"/>
            <w:r>
              <w:rPr>
                <w:rFonts w:cs="AdvP7C2E"/>
              </w:rPr>
              <w:t>Неантипсевдомонадные</w:t>
            </w:r>
            <w:proofErr w:type="spellEnd"/>
            <w:r>
              <w:rPr>
                <w:rFonts w:cs="AdvP7C2E"/>
              </w:rPr>
              <w:t xml:space="preserve"> </w:t>
            </w:r>
            <w:proofErr w:type="spellStart"/>
            <w:r>
              <w:rPr>
                <w:rFonts w:cs="AdvP7C2E"/>
              </w:rPr>
              <w:t>цефалоспорины</w:t>
            </w:r>
            <w:proofErr w:type="spellEnd"/>
            <w:r>
              <w:rPr>
                <w:rFonts w:cs="AdvP7C2E"/>
              </w:rPr>
              <w:t xml:space="preserve"> </w:t>
            </w:r>
            <w:r>
              <w:rPr>
                <w:rFonts w:cs="AdvP7C2E"/>
                <w:lang w:val="en-US"/>
              </w:rPr>
              <w:t>III</w:t>
            </w:r>
            <w:r>
              <w:t>+(</w:t>
            </w:r>
            <w:proofErr w:type="spellStart"/>
            <w:r>
              <w:t>моксифлоксацин</w:t>
            </w:r>
            <w:proofErr w:type="spellEnd"/>
            <w:r>
              <w:t xml:space="preserve"> или </w:t>
            </w:r>
            <w:proofErr w:type="spellStart"/>
            <w:r>
              <w:t>левофлоксацин</w:t>
            </w:r>
            <w:proofErr w:type="spellEnd"/>
            <w:r>
              <w:t>)</w:t>
            </w:r>
          </w:p>
        </w:tc>
      </w:tr>
      <w:tr w:rsidR="004C21BE" w:rsidTr="004C21BE">
        <w:tc>
          <w:tcPr>
            <w:tcW w:w="4785" w:type="dxa"/>
          </w:tcPr>
          <w:p w:rsidR="004C21BE" w:rsidRPr="004C21BE" w:rsidRDefault="004C21BE" w:rsidP="00A87EF4">
            <w:pPr>
              <w:spacing w:after="200" w:line="276" w:lineRule="auto"/>
              <w:rPr>
                <w:rFonts w:cs="AdvP7C2E"/>
                <w:b/>
              </w:rPr>
            </w:pPr>
            <w:r>
              <w:rPr>
                <w:rFonts w:cs="AdvP7C2E"/>
                <w:b/>
              </w:rPr>
              <w:t>Есть факторы риска</w:t>
            </w:r>
            <w:r w:rsidR="00A87EF4">
              <w:rPr>
                <w:rFonts w:cs="AdvP7C2E"/>
                <w:b/>
              </w:rPr>
              <w:t xml:space="preserve"> инфицирования </w:t>
            </w:r>
            <w:proofErr w:type="spellStart"/>
            <w:r w:rsidRPr="004C21BE">
              <w:rPr>
                <w:rFonts w:cs="AdvPECF812"/>
                <w:b/>
              </w:rPr>
              <w:t>P.aeruginosa</w:t>
            </w:r>
            <w:proofErr w:type="spellEnd"/>
            <w:r>
              <w:rPr>
                <w:rFonts w:cs="AdvPECF812"/>
                <w:b/>
              </w:rPr>
              <w:t>(см. таблицу 12)</w:t>
            </w:r>
          </w:p>
        </w:tc>
        <w:tc>
          <w:tcPr>
            <w:tcW w:w="4786" w:type="dxa"/>
          </w:tcPr>
          <w:p w:rsidR="008A1BC5" w:rsidRDefault="004C21BE" w:rsidP="002D5392">
            <w:pPr>
              <w:spacing w:after="200" w:line="276" w:lineRule="auto"/>
              <w:rPr>
                <w:rFonts w:cs="AdvP7C2E"/>
              </w:rPr>
            </w:pPr>
            <w:proofErr w:type="spellStart"/>
            <w:r>
              <w:rPr>
                <w:rFonts w:cs="AdvP7C2E"/>
              </w:rPr>
              <w:t>Антип</w:t>
            </w:r>
            <w:r w:rsidR="008A1BC5">
              <w:rPr>
                <w:rFonts w:cs="AdvP7C2E"/>
              </w:rPr>
              <w:t>севдомонадные</w:t>
            </w:r>
            <w:proofErr w:type="spellEnd"/>
            <w:r w:rsidR="008A1BC5">
              <w:rPr>
                <w:rFonts w:cs="AdvP7C2E"/>
              </w:rPr>
              <w:t xml:space="preserve"> цефалоспорины</w:t>
            </w:r>
            <w:proofErr w:type="gramStart"/>
            <w:r w:rsidR="00253024">
              <w:rPr>
                <w:rFonts w:cs="AdvP7C2E"/>
                <w:vertAlign w:val="superscript"/>
              </w:rPr>
              <w:t>2</w:t>
            </w:r>
            <w:proofErr w:type="gramEnd"/>
            <w:r w:rsidR="008A1BC5">
              <w:rPr>
                <w:rFonts w:cs="AdvP7C2E"/>
              </w:rPr>
              <w:t xml:space="preserve"> или</w:t>
            </w:r>
          </w:p>
          <w:p w:rsidR="004C21BE" w:rsidRDefault="004C21BE" w:rsidP="002D5392">
            <w:pPr>
              <w:spacing w:after="200" w:line="276" w:lineRule="auto"/>
            </w:pPr>
            <w:proofErr w:type="spellStart"/>
            <w:r>
              <w:t>А</w:t>
            </w:r>
            <w:r w:rsidRPr="000A46E5">
              <w:t>цилуреидопенициллин</w:t>
            </w:r>
            <w:proofErr w:type="spellEnd"/>
            <w:r>
              <w:t xml:space="preserve">/ингибитор </w:t>
            </w:r>
            <w:proofErr w:type="gramStart"/>
            <w:r>
              <w:t>β-</w:t>
            </w:r>
            <w:proofErr w:type="gramEnd"/>
            <w:r>
              <w:t>лактамаз</w:t>
            </w:r>
            <w:r w:rsidR="008A1BC5">
              <w:t xml:space="preserve"> или</w:t>
            </w:r>
          </w:p>
          <w:p w:rsidR="008A1BC5" w:rsidRDefault="008A1BC5" w:rsidP="002D5392">
            <w:pPr>
              <w:spacing w:after="200" w:line="276" w:lineRule="auto"/>
              <w:rPr>
                <w:rFonts w:cs="AdvP7C2E"/>
              </w:rPr>
            </w:pPr>
            <w:proofErr w:type="spellStart"/>
            <w:r>
              <w:t>Карбапенем+ципрофлоксацин</w:t>
            </w:r>
            <w:proofErr w:type="spellEnd"/>
          </w:p>
        </w:tc>
      </w:tr>
    </w:tbl>
    <w:p w:rsidR="004C21BE" w:rsidRPr="00253024" w:rsidRDefault="00253024" w:rsidP="002D5392">
      <w:pPr>
        <w:rPr>
          <w:rFonts w:cs="AdvP7C2E"/>
        </w:rPr>
      </w:pPr>
      <w:r w:rsidRPr="005E5238">
        <w:rPr>
          <w:rFonts w:cs="AdvPECF812"/>
        </w:rPr>
        <w:t xml:space="preserve">P. </w:t>
      </w:r>
      <w:proofErr w:type="spellStart"/>
      <w:r w:rsidRPr="005E5238">
        <w:rPr>
          <w:rFonts w:cs="AdvPECF812"/>
        </w:rPr>
        <w:t>aeruginosa</w:t>
      </w:r>
      <w:proofErr w:type="spellEnd"/>
      <w:r w:rsidRPr="005E5238">
        <w:rPr>
          <w:rFonts w:cs="AdvPECF811"/>
        </w:rPr>
        <w:t xml:space="preserve">: </w:t>
      </w:r>
      <w:proofErr w:type="spellStart"/>
      <w:r w:rsidRPr="005E5238">
        <w:rPr>
          <w:rFonts w:cs="AdvPECF812"/>
        </w:rPr>
        <w:t>Pseudomonas</w:t>
      </w:r>
      <w:proofErr w:type="spellEnd"/>
      <w:r w:rsidRPr="005E5238">
        <w:rPr>
          <w:rFonts w:cs="AdvPECF812"/>
        </w:rPr>
        <w:t xml:space="preserve"> </w:t>
      </w:r>
      <w:proofErr w:type="spellStart"/>
      <w:r w:rsidRPr="005E5238">
        <w:rPr>
          <w:rFonts w:cs="AdvPECF812"/>
        </w:rPr>
        <w:t>aeurginosa</w:t>
      </w:r>
      <w:proofErr w:type="spellEnd"/>
      <w:r>
        <w:rPr>
          <w:rFonts w:cs="AdvPECF812"/>
        </w:rPr>
        <w:t xml:space="preserve">. </w:t>
      </w:r>
      <w:r>
        <w:rPr>
          <w:rFonts w:cs="AdvPECF812"/>
          <w:vertAlign w:val="superscript"/>
        </w:rPr>
        <w:t>1</w:t>
      </w:r>
      <w:r>
        <w:rPr>
          <w:rFonts w:cs="AdvPECF812"/>
        </w:rPr>
        <w:t>:</w:t>
      </w:r>
      <w:r w:rsidR="00D0394E">
        <w:rPr>
          <w:rFonts w:cs="AdvPECF812"/>
        </w:rPr>
        <w:t xml:space="preserve"> </w:t>
      </w:r>
      <w:proofErr w:type="gramStart"/>
      <w:r w:rsidR="00D0394E" w:rsidRPr="00AB6C2A">
        <w:rPr>
          <w:rFonts w:cs="AdvP7C2E"/>
        </w:rPr>
        <w:t>новые</w:t>
      </w:r>
      <w:proofErr w:type="gramEnd"/>
      <w:r w:rsidR="00D0394E" w:rsidRPr="00AB6C2A">
        <w:rPr>
          <w:rFonts w:cs="AdvP7C2E"/>
        </w:rPr>
        <w:t xml:space="preserve"> </w:t>
      </w:r>
      <w:proofErr w:type="spellStart"/>
      <w:r w:rsidR="00D0394E" w:rsidRPr="00AB6C2A">
        <w:rPr>
          <w:rFonts w:cs="AdvP7C2E"/>
        </w:rPr>
        <w:t>макролиды</w:t>
      </w:r>
      <w:proofErr w:type="spellEnd"/>
      <w:r w:rsidR="00D0394E" w:rsidRPr="00AB6C2A">
        <w:rPr>
          <w:rFonts w:cs="AdvP7C2E"/>
        </w:rPr>
        <w:t xml:space="preserve"> предпочтительны по сравнению с </w:t>
      </w:r>
      <w:proofErr w:type="spellStart"/>
      <w:r w:rsidR="00D0394E" w:rsidRPr="00AB6C2A">
        <w:rPr>
          <w:rFonts w:cs="AdvP7C2E"/>
        </w:rPr>
        <w:t>эритромицин</w:t>
      </w:r>
      <w:r w:rsidR="00D0394E">
        <w:rPr>
          <w:rFonts w:cs="AdvP7C2E"/>
        </w:rPr>
        <w:t>ом</w:t>
      </w:r>
      <w:proofErr w:type="spellEnd"/>
      <w:r>
        <w:rPr>
          <w:rFonts w:cs="AdvP7C2E"/>
        </w:rPr>
        <w:t xml:space="preserve">; </w:t>
      </w:r>
      <w:r>
        <w:rPr>
          <w:rFonts w:cs="AdvP7C2E"/>
          <w:vertAlign w:val="superscript"/>
        </w:rPr>
        <w:t>2</w:t>
      </w:r>
      <w:r>
        <w:rPr>
          <w:rFonts w:cs="AdvP7C2E"/>
        </w:rPr>
        <w:t xml:space="preserve">: </w:t>
      </w:r>
      <w:proofErr w:type="spellStart"/>
      <w:r>
        <w:rPr>
          <w:rFonts w:cs="AdvP7C2E"/>
        </w:rPr>
        <w:t>цеферим</w:t>
      </w:r>
      <w:proofErr w:type="spellEnd"/>
      <w:r>
        <w:rPr>
          <w:rFonts w:cs="AdvP7C2E"/>
        </w:rPr>
        <w:t xml:space="preserve"> или </w:t>
      </w:r>
      <w:proofErr w:type="spellStart"/>
      <w:r>
        <w:rPr>
          <w:rFonts w:cs="AdvP7C2E"/>
        </w:rPr>
        <w:t>цефтазидим</w:t>
      </w:r>
      <w:proofErr w:type="spellEnd"/>
      <w:r>
        <w:rPr>
          <w:rFonts w:cs="AdvP7C2E"/>
        </w:rPr>
        <w:t xml:space="preserve">. </w:t>
      </w:r>
      <w:r>
        <w:rPr>
          <w:rFonts w:cs="AdvPECF811"/>
        </w:rPr>
        <w:t xml:space="preserve">Рекомендации по дозам смотри в </w:t>
      </w:r>
      <w:r w:rsidRPr="00D127A0">
        <w:rPr>
          <w:rFonts w:cs="AdvPECF811"/>
        </w:rPr>
        <w:t xml:space="preserve">Приложении </w:t>
      </w:r>
      <w:r>
        <w:rPr>
          <w:rFonts w:cs="AdvPECF811"/>
        </w:rPr>
        <w:t>3.</w:t>
      </w:r>
    </w:p>
    <w:p w:rsidR="00011134" w:rsidRDefault="00011134" w:rsidP="009945C2">
      <w:pPr>
        <w:rPr>
          <w:rFonts w:cs="AdvP7C2E"/>
          <w:i/>
        </w:rPr>
      </w:pPr>
      <w:r>
        <w:rPr>
          <w:rFonts w:cs="AdvP7C2E"/>
          <w:i/>
        </w:rPr>
        <w:t>Какое лечение рекомендовано при точно идентифицированном возбудителе?</w:t>
      </w:r>
    </w:p>
    <w:p w:rsidR="00011134" w:rsidRDefault="00011134" w:rsidP="009945C2">
      <w:pPr>
        <w:rPr>
          <w:rFonts w:cs="AdvP7C2E"/>
        </w:rPr>
      </w:pPr>
      <w:r>
        <w:rPr>
          <w:rFonts w:cs="AdvP7C2E"/>
        </w:rPr>
        <w:t>Подробнее смотрите следующий отдел, озаглавленный «</w:t>
      </w:r>
      <w:r w:rsidRPr="00011134">
        <w:rPr>
          <w:rFonts w:cs="AdvP7C2E"/>
        </w:rPr>
        <w:t>Какое лечение рекомендовано при точно идентифицированном возбудителе</w:t>
      </w:r>
      <w:r>
        <w:rPr>
          <w:rFonts w:cs="AdvP7C2E"/>
        </w:rPr>
        <w:t>?» в основной части статьи.</w:t>
      </w:r>
    </w:p>
    <w:p w:rsidR="00011134" w:rsidRDefault="00E367A2" w:rsidP="009945C2">
      <w:pPr>
        <w:rPr>
          <w:rFonts w:cs="AdvP7C2E"/>
          <w:i/>
        </w:rPr>
      </w:pPr>
      <w:r>
        <w:rPr>
          <w:rFonts w:cs="AdvP7C2E"/>
          <w:i/>
        </w:rPr>
        <w:t>Какой должна быть продолжительность лечения?</w:t>
      </w:r>
    </w:p>
    <w:p w:rsidR="00E367A2" w:rsidRDefault="00753BE5" w:rsidP="009945C2">
      <w:pPr>
        <w:rPr>
          <w:rFonts w:cs="AdvP7C2E"/>
        </w:rPr>
      </w:pPr>
      <w:r>
        <w:rPr>
          <w:rFonts w:cs="AdvP7C2E"/>
        </w:rPr>
        <w:t xml:space="preserve">Оптимальная продолжительность </w:t>
      </w:r>
      <w:proofErr w:type="spellStart"/>
      <w:r>
        <w:rPr>
          <w:rFonts w:cs="AdvP7C2E"/>
        </w:rPr>
        <w:t>антимикробной</w:t>
      </w:r>
      <w:proofErr w:type="spellEnd"/>
      <w:r>
        <w:rPr>
          <w:rFonts w:cs="AdvP7C2E"/>
        </w:rPr>
        <w:t xml:space="preserve"> терапии не была строго регламентирована. В сравнительных исследованиях </w:t>
      </w:r>
      <w:r w:rsidR="0022163B">
        <w:rPr>
          <w:rFonts w:cs="AdvP7C2E"/>
        </w:rPr>
        <w:t>обычная</w:t>
      </w:r>
      <w:r>
        <w:rPr>
          <w:rFonts w:cs="AdvP7C2E"/>
        </w:rPr>
        <w:t xml:space="preserve"> продолжительность лечения составляет 7-10 дней. Инфекции, вызванные внутриклеточными паразитами, такими как </w:t>
      </w:r>
      <w:proofErr w:type="spellStart"/>
      <w:r w:rsidRPr="00753BE5">
        <w:rPr>
          <w:rFonts w:cs="AdvP7C34"/>
        </w:rPr>
        <w:t>Legionella</w:t>
      </w:r>
      <w:proofErr w:type="spellEnd"/>
      <w:r w:rsidRPr="00753BE5">
        <w:rPr>
          <w:rFonts w:cs="AdvP7C34"/>
        </w:rPr>
        <w:t xml:space="preserve"> </w:t>
      </w:r>
      <w:proofErr w:type="spellStart"/>
      <w:r w:rsidRPr="00753BE5">
        <w:rPr>
          <w:rFonts w:cs="AdvP7C2E"/>
        </w:rPr>
        <w:t>spp</w:t>
      </w:r>
      <w:proofErr w:type="spellEnd"/>
      <w:r w:rsidRPr="00753BE5">
        <w:rPr>
          <w:rFonts w:cs="AdvP7C2E"/>
        </w:rPr>
        <w:t>.</w:t>
      </w:r>
      <w:r>
        <w:rPr>
          <w:rFonts w:cs="AdvP7C2E"/>
        </w:rPr>
        <w:t>, должны лечиться как минимум в течение 14 дней (С</w:t>
      </w:r>
      <w:proofErr w:type="gramStart"/>
      <w:r>
        <w:rPr>
          <w:rFonts w:cs="AdvP7C2E"/>
        </w:rPr>
        <w:t>4</w:t>
      </w:r>
      <w:proofErr w:type="gramEnd"/>
      <w:r>
        <w:rPr>
          <w:rFonts w:cs="AdvP7C2E"/>
        </w:rPr>
        <w:t xml:space="preserve">). </w:t>
      </w:r>
    </w:p>
    <w:p w:rsidR="0022163B" w:rsidRDefault="00D33844" w:rsidP="009945C2">
      <w:pPr>
        <w:rPr>
          <w:rFonts w:cs="AdvP7C2E"/>
          <w:i/>
        </w:rPr>
      </w:pPr>
      <w:r>
        <w:rPr>
          <w:rFonts w:cs="AdvP7C2E"/>
          <w:i/>
        </w:rPr>
        <w:t>В каких случаях</w:t>
      </w:r>
      <w:r w:rsidR="003A64E8">
        <w:rPr>
          <w:rFonts w:cs="AdvP7C2E"/>
          <w:i/>
        </w:rPr>
        <w:t xml:space="preserve"> следует прибегать к внутривенному введению препарата, и </w:t>
      </w:r>
      <w:r>
        <w:rPr>
          <w:rFonts w:cs="AdvP7C2E"/>
          <w:i/>
        </w:rPr>
        <w:t xml:space="preserve">когда переходить на </w:t>
      </w:r>
      <w:proofErr w:type="spellStart"/>
      <w:r>
        <w:rPr>
          <w:rFonts w:cs="AdvP7C2E"/>
          <w:i/>
        </w:rPr>
        <w:t>пероральный</w:t>
      </w:r>
      <w:proofErr w:type="spellEnd"/>
      <w:r>
        <w:rPr>
          <w:rFonts w:cs="AdvP7C2E"/>
          <w:i/>
        </w:rPr>
        <w:t xml:space="preserve"> приём</w:t>
      </w:r>
      <w:r w:rsidR="003A64E8">
        <w:rPr>
          <w:rFonts w:cs="AdvP7C2E"/>
          <w:i/>
        </w:rPr>
        <w:t>?</w:t>
      </w:r>
    </w:p>
    <w:p w:rsidR="003A64E8" w:rsidRDefault="003A64E8" w:rsidP="009945C2">
      <w:pPr>
        <w:rPr>
          <w:rFonts w:cs="AdvP7C2E"/>
        </w:rPr>
      </w:pPr>
      <w:r>
        <w:rPr>
          <w:rFonts w:cs="AdvP7C2E"/>
        </w:rPr>
        <w:lastRenderedPageBreak/>
        <w:t xml:space="preserve">При пневмонии лёгкой степени тяжести лечение может проводиться </w:t>
      </w:r>
      <w:proofErr w:type="spellStart"/>
      <w:r>
        <w:rPr>
          <w:rFonts w:cs="AdvP7C2E"/>
        </w:rPr>
        <w:t>перорально</w:t>
      </w:r>
      <w:proofErr w:type="spellEnd"/>
      <w:r>
        <w:rPr>
          <w:rFonts w:cs="AdvP7C2E"/>
        </w:rPr>
        <w:t xml:space="preserve"> с самого начала (А3). У пациентов с пневмонией средней степени тяжести</w:t>
      </w:r>
      <w:r w:rsidR="00A67364">
        <w:rPr>
          <w:rFonts w:cs="AdvP7C2E"/>
        </w:rPr>
        <w:t xml:space="preserve"> следует проводить ступе</w:t>
      </w:r>
      <w:r w:rsidR="000F2E4E">
        <w:rPr>
          <w:rFonts w:cs="AdvP7C2E"/>
        </w:rPr>
        <w:t>нчатую терапию.</w:t>
      </w:r>
      <w:r w:rsidR="00A67364">
        <w:rPr>
          <w:rFonts w:cs="AdvP7C2E"/>
        </w:rPr>
        <w:t xml:space="preserve"> Оптимальный срок для перехода на </w:t>
      </w:r>
      <w:proofErr w:type="spellStart"/>
      <w:r w:rsidR="00A67364">
        <w:rPr>
          <w:rFonts w:cs="AdvP7C2E"/>
        </w:rPr>
        <w:t>пероральный</w:t>
      </w:r>
      <w:proofErr w:type="spellEnd"/>
      <w:r w:rsidR="00A67364">
        <w:rPr>
          <w:rFonts w:cs="AdvP7C2E"/>
        </w:rPr>
        <w:t xml:space="preserve"> приём препаратов не установлен; </w:t>
      </w:r>
      <w:r w:rsidR="00D141DA">
        <w:rPr>
          <w:rFonts w:cs="AdvP7C2E"/>
        </w:rPr>
        <w:t>представляется целесообразным</w:t>
      </w:r>
      <w:r w:rsidR="00A67364">
        <w:rPr>
          <w:rFonts w:cs="AdvP7C2E"/>
        </w:rPr>
        <w:t xml:space="preserve"> осуществлять</w:t>
      </w:r>
      <w:r w:rsidR="00D141DA">
        <w:rPr>
          <w:rFonts w:cs="AdvP7C2E"/>
        </w:rPr>
        <w:t xml:space="preserve"> этот переход</w:t>
      </w:r>
      <w:r w:rsidR="00E72C51">
        <w:rPr>
          <w:rFonts w:cs="AdvP7C2E"/>
        </w:rPr>
        <w:t>,</w:t>
      </w:r>
      <w:r w:rsidR="00D141DA">
        <w:rPr>
          <w:rFonts w:cs="AdvP7C2E"/>
        </w:rPr>
        <w:t xml:space="preserve"> основываясь на наиболее выраженных клинических признаках, по результатам динамического наблюдения</w:t>
      </w:r>
      <w:r w:rsidR="00BB6C9F">
        <w:rPr>
          <w:rFonts w:cs="AdvP7C2E"/>
        </w:rPr>
        <w:t xml:space="preserve"> (А3)</w:t>
      </w:r>
      <w:r w:rsidR="00D141DA">
        <w:rPr>
          <w:rFonts w:cs="AdvP7C2E"/>
        </w:rPr>
        <w:t>.</w:t>
      </w:r>
    </w:p>
    <w:p w:rsidR="00BB6C9F" w:rsidRDefault="00BB6C9F" w:rsidP="009945C2">
      <w:pPr>
        <w:rPr>
          <w:rFonts w:cs="AdvP7C2E"/>
          <w:i/>
        </w:rPr>
      </w:pPr>
      <w:r>
        <w:rPr>
          <w:rFonts w:cs="AdvP7C2E"/>
          <w:i/>
        </w:rPr>
        <w:t>Какие дополнительные методы лечения рекомендованы?</w:t>
      </w:r>
    </w:p>
    <w:p w:rsidR="004D0D5F" w:rsidRDefault="009D6588" w:rsidP="009945C2">
      <w:pPr>
        <w:rPr>
          <w:rFonts w:cs="AdvP7C2E"/>
        </w:rPr>
      </w:pPr>
      <w:r>
        <w:rPr>
          <w:rFonts w:cs="AdvP7C2E"/>
        </w:rPr>
        <w:t xml:space="preserve">Низкомолекулярный гепарин назначается пациентам с острой дыхательной недостаточностью (А3). Использование </w:t>
      </w:r>
      <w:proofErr w:type="spellStart"/>
      <w:r>
        <w:rPr>
          <w:rFonts w:cs="AdvP7C2E"/>
        </w:rPr>
        <w:t>неинвазивной</w:t>
      </w:r>
      <w:proofErr w:type="spellEnd"/>
      <w:r>
        <w:rPr>
          <w:rFonts w:cs="AdvP7C2E"/>
        </w:rPr>
        <w:t xml:space="preserve"> вентиляции не является стандартом лечения, но может использоваться у пациентов с ХОБЛ (В3).</w:t>
      </w:r>
      <w:r w:rsidR="001E4570">
        <w:rPr>
          <w:rFonts w:cs="AdvP7C2E"/>
        </w:rPr>
        <w:t xml:space="preserve"> Лечение тяжёлого сепсиса и септического шока ограничивается </w:t>
      </w:r>
      <w:r w:rsidR="001E4570" w:rsidRPr="00F572F7">
        <w:rPr>
          <w:rFonts w:cs="AdvP7C2E"/>
        </w:rPr>
        <w:t>поддерживающими</w:t>
      </w:r>
      <w:r w:rsidR="001E4570">
        <w:rPr>
          <w:rFonts w:cs="AdvP7C2E"/>
        </w:rPr>
        <w:t xml:space="preserve"> мероприятиями (А3). </w:t>
      </w:r>
      <w:r w:rsidR="004D0D5F">
        <w:rPr>
          <w:rFonts w:cs="AdvP7C2E"/>
        </w:rPr>
        <w:t>Стероиды не применяются до развития септического шока (А3)</w:t>
      </w:r>
      <w:r w:rsidR="001E4570">
        <w:rPr>
          <w:rFonts w:cs="AdvP7C2E"/>
        </w:rPr>
        <w:t>.</w:t>
      </w:r>
    </w:p>
    <w:p w:rsidR="004D0D5F" w:rsidRDefault="004D0D5F" w:rsidP="009945C2">
      <w:pPr>
        <w:rPr>
          <w:rFonts w:cs="AdvP7C2E"/>
          <w:i/>
        </w:rPr>
      </w:pPr>
      <w:r>
        <w:rPr>
          <w:rFonts w:cs="AdvP7C2E"/>
          <w:i/>
        </w:rPr>
        <w:t>Как оценивать ответ на лечение, и когда следует проводить повторную рентгенографию?</w:t>
      </w:r>
    </w:p>
    <w:p w:rsidR="004D0D5F" w:rsidRDefault="00020316" w:rsidP="009945C2">
      <w:pPr>
        <w:rPr>
          <w:rFonts w:cs="AdvP7C2E"/>
        </w:rPr>
      </w:pPr>
      <w:r>
        <w:rPr>
          <w:rFonts w:cs="AdvP7C2E"/>
        </w:rPr>
        <w:t xml:space="preserve"> </w:t>
      </w:r>
      <w:r w:rsidR="00305B44">
        <w:rPr>
          <w:rFonts w:cs="AdvP7C2E"/>
        </w:rPr>
        <w:t>Ответ на лечение следует оценивать на основе простых клинических признаков, включающих температуру тела, функцию дыхания и гемодинамические показатели. Эти же параметры следует оценивать при решении вопроса о выписке пациента из стаци</w:t>
      </w:r>
      <w:r w:rsidR="006F7F66">
        <w:rPr>
          <w:rFonts w:cs="AdvP7C2E"/>
        </w:rPr>
        <w:t>онара (А3). Полное выздоровление</w:t>
      </w:r>
      <w:r w:rsidR="00305B44">
        <w:rPr>
          <w:rFonts w:cs="AdvP7C2E"/>
        </w:rPr>
        <w:t>, включающее нормализацию рентгенологической картины, требует гораздо более длительного периода времени. Решение о выписке пациента должно основываться на устойчивой стабилизации клинических параметров (А3).</w:t>
      </w:r>
    </w:p>
    <w:p w:rsidR="003A611C" w:rsidRDefault="007D22D6" w:rsidP="009945C2">
      <w:pPr>
        <w:rPr>
          <w:rFonts w:cs="AdvP7C2E"/>
          <w:i/>
        </w:rPr>
      </w:pPr>
      <w:r w:rsidRPr="00301F02">
        <w:rPr>
          <w:rFonts w:cs="AdvP7C2E"/>
          <w:i/>
        </w:rPr>
        <w:t>Как следует оценивать пациентов, не отвечающих на терапию?</w:t>
      </w:r>
    </w:p>
    <w:p w:rsidR="00BB6C9F" w:rsidRPr="009D6588" w:rsidRDefault="007D22D6" w:rsidP="009945C2">
      <w:pPr>
        <w:rPr>
          <w:rFonts w:cs="AdvP7C2E"/>
        </w:rPr>
      </w:pPr>
      <w:r>
        <w:rPr>
          <w:rFonts w:cs="AdvP7C2E"/>
        </w:rPr>
        <w:t xml:space="preserve">Следует дифференцировать медленно разрешающуюся пневмонию от </w:t>
      </w:r>
      <w:proofErr w:type="gramStart"/>
      <w:r>
        <w:rPr>
          <w:rFonts w:cs="AdvP7C2E"/>
        </w:rPr>
        <w:t>резистентной</w:t>
      </w:r>
      <w:proofErr w:type="gramEnd"/>
      <w:r>
        <w:rPr>
          <w:rFonts w:cs="AdvP7C2E"/>
        </w:rPr>
        <w:t xml:space="preserve"> к лечению (А3). Определение </w:t>
      </w:r>
      <w:proofErr w:type="spellStart"/>
      <w:r>
        <w:rPr>
          <w:rFonts w:cs="AdvP7C2E"/>
        </w:rPr>
        <w:t>резистентности</w:t>
      </w:r>
      <w:proofErr w:type="spellEnd"/>
      <w:r>
        <w:rPr>
          <w:rFonts w:cs="AdvP7C2E"/>
        </w:rPr>
        <w:t xml:space="preserve"> пневмонии к лечению основывается на клинической картине. У нестабильных пациентов рекомендовано провести полное повторное обследование и назначить второй курс эмпирической антибактериальной терапии. </w:t>
      </w:r>
      <w:r w:rsidR="00020316">
        <w:rPr>
          <w:rFonts w:cs="AdvP7C2E"/>
        </w:rPr>
        <w:t xml:space="preserve">В дальнейшем </w:t>
      </w:r>
      <w:r>
        <w:rPr>
          <w:rFonts w:cs="AdvP7C2E"/>
        </w:rPr>
        <w:t>возможен отказ от антибиотиков при стабилизации</w:t>
      </w:r>
      <w:r w:rsidR="00301F02">
        <w:rPr>
          <w:rFonts w:cs="AdvP7C2E"/>
        </w:rPr>
        <w:t xml:space="preserve"> состояния</w:t>
      </w:r>
      <w:r>
        <w:rPr>
          <w:rFonts w:cs="AdvP7C2E"/>
        </w:rPr>
        <w:t xml:space="preserve"> пациента</w:t>
      </w:r>
      <w:r w:rsidR="00020316">
        <w:rPr>
          <w:rFonts w:cs="AdvP7C2E"/>
        </w:rPr>
        <w:t>. При медленном разрешении пневмонии следует провести ряд дополнительных исследований в зависимости от клиники и соотношения общего состояния и индивидуальных факторов риска</w:t>
      </w:r>
      <w:r w:rsidR="00FD701C">
        <w:rPr>
          <w:rFonts w:cs="AdvP7C2E"/>
        </w:rPr>
        <w:t xml:space="preserve"> (С3)</w:t>
      </w:r>
      <w:r w:rsidR="00020316">
        <w:rPr>
          <w:rFonts w:cs="AdvP7C2E"/>
        </w:rPr>
        <w:t>.</w:t>
      </w:r>
    </w:p>
    <w:p w:rsidR="00EA1823" w:rsidRPr="0005188A" w:rsidRDefault="00B7174B" w:rsidP="009945C2">
      <w:pPr>
        <w:rPr>
          <w:rFonts w:cs="AdvP7C2E"/>
          <w:u w:val="single"/>
        </w:rPr>
      </w:pPr>
      <w:r w:rsidRPr="0005188A">
        <w:rPr>
          <w:rFonts w:cs="AdvP7C2E"/>
          <w:u w:val="single"/>
        </w:rPr>
        <w:t>Обострение ХОБЛ</w:t>
      </w:r>
    </w:p>
    <w:p w:rsidR="00B7174B" w:rsidRDefault="00B7174B" w:rsidP="009945C2">
      <w:pPr>
        <w:rPr>
          <w:rFonts w:cs="AdvP7C2E"/>
          <w:i/>
        </w:rPr>
      </w:pPr>
      <w:r>
        <w:rPr>
          <w:rFonts w:cs="AdvP7C2E"/>
          <w:i/>
        </w:rPr>
        <w:t>Какие из госпитализированных пациентов с обострением ХОБЛ должны получать антибиотики?</w:t>
      </w:r>
    </w:p>
    <w:p w:rsidR="00FF0AA6" w:rsidRDefault="00B7174B" w:rsidP="009945C2">
      <w:pPr>
        <w:rPr>
          <w:rFonts w:cs="AdvP7C2E"/>
        </w:rPr>
      </w:pPr>
      <w:r>
        <w:rPr>
          <w:rFonts w:cs="AdvP7C2E"/>
        </w:rPr>
        <w:t xml:space="preserve">Следующие пациенты с обострением ХОБЛ должны получать антибиотики. 1) Пациенты, имеющие все три из следующих симптомов: усугубление диспноэ, увеличение объёма мокроты; и гнойная мокрота (тип </w:t>
      </w:r>
      <w:r>
        <w:rPr>
          <w:rFonts w:cs="AdvP7C2E"/>
          <w:lang w:val="en-US"/>
        </w:rPr>
        <w:t>I</w:t>
      </w:r>
      <w:r>
        <w:rPr>
          <w:rFonts w:cs="AdvP7C2E"/>
        </w:rPr>
        <w:t xml:space="preserve"> </w:t>
      </w:r>
      <w:proofErr w:type="spellStart"/>
      <w:r w:rsidRPr="00B7174B">
        <w:rPr>
          <w:rFonts w:cs="AdvP7C2E"/>
          <w:highlight w:val="yellow"/>
        </w:rPr>
        <w:t>Anthonisen</w:t>
      </w:r>
      <w:proofErr w:type="spellEnd"/>
      <w:r w:rsidRPr="00B7174B">
        <w:rPr>
          <w:rFonts w:cs="AdvP7C2E"/>
        </w:rPr>
        <w:t xml:space="preserve"> обострения;</w:t>
      </w:r>
      <w:r>
        <w:rPr>
          <w:rFonts w:cs="AdvP7C2E"/>
        </w:rPr>
        <w:t xml:space="preserve"> А</w:t>
      </w:r>
      <w:proofErr w:type="gramStart"/>
      <w:r>
        <w:rPr>
          <w:rFonts w:cs="AdvP7C2E"/>
        </w:rPr>
        <w:t>2</w:t>
      </w:r>
      <w:proofErr w:type="gramEnd"/>
      <w:r>
        <w:rPr>
          <w:rFonts w:cs="AdvP7C2E"/>
        </w:rPr>
        <w:t xml:space="preserve">). 2)Пациенты, имеющие только два из вышеуказанных симптомов (тип </w:t>
      </w:r>
      <w:r>
        <w:rPr>
          <w:rFonts w:cs="AdvP7C2E"/>
          <w:lang w:val="en-US"/>
        </w:rPr>
        <w:t>II</w:t>
      </w:r>
      <w:r>
        <w:rPr>
          <w:rFonts w:cs="AdvP7C2E"/>
        </w:rPr>
        <w:t xml:space="preserve"> </w:t>
      </w:r>
      <w:proofErr w:type="spellStart"/>
      <w:r w:rsidRPr="00B7174B">
        <w:rPr>
          <w:rFonts w:cs="AdvP7C2E"/>
          <w:highlight w:val="yellow"/>
        </w:rPr>
        <w:t>Anthonisen</w:t>
      </w:r>
      <w:proofErr w:type="spellEnd"/>
      <w:r w:rsidRPr="00B7174B">
        <w:rPr>
          <w:rFonts w:cs="AdvP7C2E"/>
        </w:rPr>
        <w:t xml:space="preserve"> обострения</w:t>
      </w:r>
      <w:r>
        <w:rPr>
          <w:rFonts w:cs="AdvP7C2E"/>
        </w:rPr>
        <w:t xml:space="preserve">), причём возросшая </w:t>
      </w:r>
      <w:proofErr w:type="spellStart"/>
      <w:r>
        <w:rPr>
          <w:rFonts w:cs="AdvP7C2E"/>
        </w:rPr>
        <w:t>гнойность</w:t>
      </w:r>
      <w:proofErr w:type="spellEnd"/>
      <w:r>
        <w:rPr>
          <w:rFonts w:cs="AdvP7C2E"/>
        </w:rPr>
        <w:t xml:space="preserve"> мокроты – один из двух симптомов (А2).</w:t>
      </w:r>
      <w:r w:rsidR="0057214D">
        <w:rPr>
          <w:rFonts w:cs="AdvP7C2E"/>
        </w:rPr>
        <w:t xml:space="preserve"> 3) Пациенты с тяжёлым обострением, нуждающиеся в </w:t>
      </w:r>
      <w:proofErr w:type="spellStart"/>
      <w:r w:rsidR="0057214D">
        <w:rPr>
          <w:rFonts w:cs="AdvP7C2E"/>
        </w:rPr>
        <w:t>инвазивной</w:t>
      </w:r>
      <w:proofErr w:type="spellEnd"/>
      <w:r w:rsidR="0057214D">
        <w:rPr>
          <w:rFonts w:cs="AdvP7C2E"/>
        </w:rPr>
        <w:t xml:space="preserve"> или </w:t>
      </w:r>
      <w:proofErr w:type="spellStart"/>
      <w:r w:rsidR="0057214D">
        <w:rPr>
          <w:rFonts w:cs="AdvP7C2E"/>
        </w:rPr>
        <w:t>неинвазивной</w:t>
      </w:r>
      <w:proofErr w:type="spellEnd"/>
      <w:r w:rsidR="0057214D">
        <w:rPr>
          <w:rFonts w:cs="AdvP7C2E"/>
        </w:rPr>
        <w:t xml:space="preserve"> вентиляции лёгких (А2). 4) Применение антибиотиков не рекомендовано при </w:t>
      </w:r>
      <w:r w:rsidR="0057214D">
        <w:rPr>
          <w:rFonts w:cs="AdvP7C2E"/>
          <w:lang w:val="en-US"/>
        </w:rPr>
        <w:t>II</w:t>
      </w:r>
      <w:r w:rsidR="0057214D">
        <w:rPr>
          <w:rFonts w:cs="AdvP7C2E"/>
        </w:rPr>
        <w:t xml:space="preserve"> типе </w:t>
      </w:r>
      <w:proofErr w:type="spellStart"/>
      <w:r w:rsidR="0057214D" w:rsidRPr="00B7174B">
        <w:rPr>
          <w:rFonts w:cs="AdvP7C2E"/>
          <w:highlight w:val="yellow"/>
        </w:rPr>
        <w:t>Anthonisen</w:t>
      </w:r>
      <w:proofErr w:type="spellEnd"/>
      <w:r w:rsidR="0057214D" w:rsidRPr="00B7174B">
        <w:rPr>
          <w:rFonts w:cs="AdvP7C2E"/>
        </w:rPr>
        <w:t xml:space="preserve"> </w:t>
      </w:r>
      <w:r w:rsidR="0057214D">
        <w:rPr>
          <w:rFonts w:cs="AdvP7C2E"/>
        </w:rPr>
        <w:t xml:space="preserve">обострения без гнойной мокроты и типе </w:t>
      </w:r>
      <w:r w:rsidR="0057214D">
        <w:rPr>
          <w:rFonts w:cs="AdvP7C2E"/>
          <w:lang w:val="en-US"/>
        </w:rPr>
        <w:t>III</w:t>
      </w:r>
      <w:r w:rsidR="0057214D" w:rsidRPr="0057214D">
        <w:rPr>
          <w:rFonts w:cs="AdvP7C2E"/>
        </w:rPr>
        <w:t xml:space="preserve"> </w:t>
      </w:r>
      <w:r w:rsidR="0057214D">
        <w:rPr>
          <w:rFonts w:cs="AdvP7C2E"/>
        </w:rPr>
        <w:t>обострения (пациенты имеют один из вышеуказанных симптомов, или не имеют ни одного; А</w:t>
      </w:r>
      <w:proofErr w:type="gramStart"/>
      <w:r w:rsidR="0057214D">
        <w:rPr>
          <w:rFonts w:cs="AdvP7C2E"/>
        </w:rPr>
        <w:t>2</w:t>
      </w:r>
      <w:proofErr w:type="gramEnd"/>
      <w:r w:rsidR="0057214D">
        <w:rPr>
          <w:rFonts w:cs="AdvP7C2E"/>
        </w:rPr>
        <w:t>).</w:t>
      </w:r>
    </w:p>
    <w:p w:rsidR="00ED3C60" w:rsidRDefault="00ED3C60" w:rsidP="009945C2">
      <w:pPr>
        <w:rPr>
          <w:rFonts w:cs="AdvP7C2E"/>
          <w:i/>
        </w:rPr>
      </w:pPr>
      <w:r>
        <w:rPr>
          <w:rFonts w:cs="AdvP7C2E"/>
          <w:i/>
        </w:rPr>
        <w:t>Какая стратификация пациентов с обострением ХОБЛ рекомендована для определения тактики лечения?</w:t>
      </w:r>
    </w:p>
    <w:p w:rsidR="00ED3C60" w:rsidRDefault="00ED3C60" w:rsidP="009945C2">
      <w:pPr>
        <w:rPr>
          <w:rFonts w:cs="AdvP7C34"/>
        </w:rPr>
      </w:pPr>
      <w:r>
        <w:rPr>
          <w:rFonts w:cs="AdvP7C2E"/>
        </w:rPr>
        <w:lastRenderedPageBreak/>
        <w:t>Рекомендовано выделять следующие группы пациентов для определения дальнейшей тактики лечения. Группа</w:t>
      </w:r>
      <w:proofErr w:type="gramStart"/>
      <w:r>
        <w:rPr>
          <w:rFonts w:cs="AdvP7C2E"/>
        </w:rPr>
        <w:t xml:space="preserve"> А</w:t>
      </w:r>
      <w:proofErr w:type="gramEnd"/>
      <w:r>
        <w:rPr>
          <w:rFonts w:cs="AdvP7C2E"/>
        </w:rPr>
        <w:t>: пациенты, не требующие госпитализации (ХОБЛ лёгкой степени</w:t>
      </w:r>
      <w:r w:rsidR="001B659B">
        <w:rPr>
          <w:rFonts w:cs="AdvP7C2E"/>
        </w:rPr>
        <w:t xml:space="preserve">; смотри </w:t>
      </w:r>
      <w:r w:rsidR="00EF58F6">
        <w:rPr>
          <w:rFonts w:cs="AdvP7C2E"/>
        </w:rPr>
        <w:t>Руководство на амбулаторном этапе</w:t>
      </w:r>
      <w:r w:rsidR="00D40E9D">
        <w:rPr>
          <w:rFonts w:cs="AdvP7C2E"/>
        </w:rPr>
        <w:t>; А3). Группа</w:t>
      </w:r>
      <w:proofErr w:type="gramStart"/>
      <w:r w:rsidR="00D40E9D">
        <w:rPr>
          <w:rFonts w:cs="AdvP7C2E"/>
        </w:rPr>
        <w:t xml:space="preserve"> В</w:t>
      </w:r>
      <w:proofErr w:type="gramEnd"/>
      <w:r w:rsidR="001B659B">
        <w:rPr>
          <w:rFonts w:cs="AdvP7C2E"/>
        </w:rPr>
        <w:t>: госпитализированные пациенты (ХОБЛ средней тяжести и тяжёлого течения) без факторов риска развития инфекции, вызванной</w:t>
      </w:r>
      <w:r w:rsidR="001B659B" w:rsidRPr="001B659B">
        <w:rPr>
          <w:rFonts w:ascii="AdvP7C34" w:hAnsi="AdvP7C34" w:cs="AdvP7C34"/>
          <w:sz w:val="18"/>
          <w:szCs w:val="18"/>
        </w:rPr>
        <w:t xml:space="preserve"> </w:t>
      </w:r>
      <w:proofErr w:type="spellStart"/>
      <w:r w:rsidR="001B659B" w:rsidRPr="001B659B">
        <w:rPr>
          <w:rFonts w:cs="AdvP7C34"/>
        </w:rPr>
        <w:t>Pseudomonas</w:t>
      </w:r>
      <w:proofErr w:type="spellEnd"/>
      <w:r w:rsidR="001B659B" w:rsidRPr="001B659B">
        <w:rPr>
          <w:rFonts w:cs="AdvP7C34"/>
        </w:rPr>
        <w:t xml:space="preserve"> </w:t>
      </w:r>
      <w:proofErr w:type="spellStart"/>
      <w:r w:rsidR="001B659B" w:rsidRPr="001B659B">
        <w:rPr>
          <w:rFonts w:cs="AdvP7C34"/>
        </w:rPr>
        <w:t>aeruginosa</w:t>
      </w:r>
      <w:proofErr w:type="spellEnd"/>
      <w:r w:rsidR="00D40E9D">
        <w:rPr>
          <w:rFonts w:cs="AdvP7C34"/>
        </w:rPr>
        <w:t xml:space="preserve"> (А3). Группа</w:t>
      </w:r>
      <w:proofErr w:type="gramStart"/>
      <w:r w:rsidR="00D40E9D">
        <w:rPr>
          <w:rFonts w:cs="AdvP7C34"/>
        </w:rPr>
        <w:t xml:space="preserve"> С</w:t>
      </w:r>
      <w:proofErr w:type="gramEnd"/>
      <w:r w:rsidR="001B659B">
        <w:rPr>
          <w:rFonts w:cs="AdvP7C34"/>
        </w:rPr>
        <w:t xml:space="preserve">: </w:t>
      </w:r>
      <w:r w:rsidR="001B659B">
        <w:rPr>
          <w:rFonts w:cs="AdvP7C2E"/>
        </w:rPr>
        <w:t>госпитализированные пациенты (ХОБЛ средней тяжести и тяжёлого течения), имеющие факторы риска развития инфекции, вызванной</w:t>
      </w:r>
      <w:r w:rsidR="001B659B" w:rsidRPr="001B659B">
        <w:rPr>
          <w:rFonts w:ascii="AdvP7C34" w:hAnsi="AdvP7C34" w:cs="AdvP7C34"/>
          <w:sz w:val="18"/>
          <w:szCs w:val="18"/>
        </w:rPr>
        <w:t xml:space="preserve"> </w:t>
      </w:r>
      <w:r w:rsidR="001B659B" w:rsidRPr="001B659B">
        <w:rPr>
          <w:rFonts w:cs="AdvP7C34"/>
        </w:rPr>
        <w:t>P</w:t>
      </w:r>
      <w:r w:rsidR="001B659B">
        <w:rPr>
          <w:rFonts w:cs="AdvP7C34"/>
        </w:rPr>
        <w:t>.</w:t>
      </w:r>
      <w:r w:rsidR="001B659B" w:rsidRPr="001B659B">
        <w:rPr>
          <w:rFonts w:cs="AdvP7C34"/>
        </w:rPr>
        <w:t xml:space="preserve"> </w:t>
      </w:r>
      <w:proofErr w:type="spellStart"/>
      <w:r w:rsidR="001B659B" w:rsidRPr="001B659B">
        <w:rPr>
          <w:rFonts w:cs="AdvP7C34"/>
        </w:rPr>
        <w:t>aeruginosa</w:t>
      </w:r>
      <w:proofErr w:type="spellEnd"/>
      <w:r w:rsidR="001B659B">
        <w:rPr>
          <w:rFonts w:cs="AdvP7C34"/>
        </w:rPr>
        <w:t xml:space="preserve"> (А3).</w:t>
      </w:r>
    </w:p>
    <w:p w:rsidR="009B6CB9" w:rsidRDefault="009B6CB9" w:rsidP="009945C2">
      <w:pPr>
        <w:rPr>
          <w:rFonts w:cs="AdvP7C34"/>
          <w:i/>
        </w:rPr>
      </w:pPr>
      <w:r>
        <w:rPr>
          <w:rFonts w:cs="AdvP7C34"/>
          <w:i/>
        </w:rPr>
        <w:t xml:space="preserve">Каковы факторы риска для развития инфекции, </w:t>
      </w:r>
      <w:r w:rsidRPr="009B6CB9">
        <w:rPr>
          <w:rFonts w:cs="AdvP7C34"/>
          <w:i/>
        </w:rPr>
        <w:t xml:space="preserve">вызванной P. </w:t>
      </w:r>
      <w:proofErr w:type="spellStart"/>
      <w:proofErr w:type="gramStart"/>
      <w:r>
        <w:rPr>
          <w:rFonts w:cs="AdvP7C34"/>
          <w:i/>
        </w:rPr>
        <w:t>а</w:t>
      </w:r>
      <w:proofErr w:type="gramEnd"/>
      <w:r w:rsidRPr="009B6CB9">
        <w:rPr>
          <w:rFonts w:cs="AdvP7C34"/>
          <w:i/>
        </w:rPr>
        <w:t>eruginosa</w:t>
      </w:r>
      <w:proofErr w:type="spellEnd"/>
      <w:r>
        <w:rPr>
          <w:rFonts w:cs="AdvP7C34"/>
          <w:i/>
        </w:rPr>
        <w:t>?</w:t>
      </w:r>
    </w:p>
    <w:p w:rsidR="00062740" w:rsidRDefault="00062740" w:rsidP="009945C2">
      <w:pPr>
        <w:rPr>
          <w:rFonts w:cs="AdvP7C34"/>
        </w:rPr>
      </w:pPr>
      <w:r>
        <w:rPr>
          <w:rFonts w:cs="AdvP7C34"/>
        </w:rPr>
        <w:t xml:space="preserve">Наличие по крайней мере двух из следующих четырёх факторов способствует </w:t>
      </w:r>
      <w:r>
        <w:rPr>
          <w:rFonts w:cs="AdvP7C2E"/>
        </w:rPr>
        <w:t>развитию инфекции, вызванной</w:t>
      </w:r>
      <w:r w:rsidRPr="001B659B">
        <w:rPr>
          <w:rFonts w:ascii="AdvP7C34" w:hAnsi="AdvP7C34" w:cs="AdvP7C34"/>
          <w:sz w:val="18"/>
          <w:szCs w:val="18"/>
        </w:rPr>
        <w:t xml:space="preserve"> </w:t>
      </w:r>
      <w:r w:rsidRPr="001B659B">
        <w:rPr>
          <w:rFonts w:cs="AdvP7C34"/>
        </w:rPr>
        <w:t>P</w:t>
      </w:r>
      <w:r>
        <w:rPr>
          <w:rFonts w:cs="AdvP7C34"/>
        </w:rPr>
        <w:t>.</w:t>
      </w:r>
      <w:r w:rsidRPr="001B659B">
        <w:rPr>
          <w:rFonts w:cs="AdvP7C34"/>
        </w:rPr>
        <w:t xml:space="preserve"> </w:t>
      </w:r>
      <w:proofErr w:type="spellStart"/>
      <w:r w:rsidR="003E7472">
        <w:rPr>
          <w:rFonts w:cs="AdvP7C34"/>
        </w:rPr>
        <w:t>а</w:t>
      </w:r>
      <w:r w:rsidRPr="001B659B">
        <w:rPr>
          <w:rFonts w:cs="AdvP7C34"/>
        </w:rPr>
        <w:t>eruginosa</w:t>
      </w:r>
      <w:proofErr w:type="spellEnd"/>
      <w:r>
        <w:rPr>
          <w:rFonts w:cs="AdvP7C34"/>
        </w:rPr>
        <w:t xml:space="preserve">: 1) </w:t>
      </w:r>
      <w:r w:rsidR="00FD6957">
        <w:rPr>
          <w:rFonts w:cs="AdvP7C34"/>
        </w:rPr>
        <w:t>недавняя госпитализация в анамнезе (А3); 2) частое (более четырёх раз в год) или недавнее (в течение последних трёх месяцев) назначение антибиотиков (А3); 3) тяжёлое течение болезни (объём форсированного выдоха за первую секунду (ОФВ</w:t>
      </w:r>
      <w:proofErr w:type="gramStart"/>
      <w:r w:rsidR="00FD6957">
        <w:rPr>
          <w:rFonts w:cs="AdvP7C34"/>
        </w:rPr>
        <w:t>1</w:t>
      </w:r>
      <w:proofErr w:type="gramEnd"/>
      <w:r w:rsidR="00FD6957">
        <w:rPr>
          <w:rFonts w:cs="AdvP7C34"/>
        </w:rPr>
        <w:t xml:space="preserve">) </w:t>
      </w:r>
      <w:r w:rsidR="00FD6957" w:rsidRPr="00FD6957">
        <w:rPr>
          <w:rFonts w:cs="AdvP7C34"/>
        </w:rPr>
        <w:t>&lt;</w:t>
      </w:r>
      <w:r w:rsidR="00FD6957">
        <w:rPr>
          <w:rFonts w:cs="AdvP7C34"/>
        </w:rPr>
        <w:t xml:space="preserve"> 30%; А3); </w:t>
      </w:r>
      <w:r w:rsidR="00265EAE">
        <w:rPr>
          <w:rFonts w:cs="AdvP7C34"/>
        </w:rPr>
        <w:t xml:space="preserve">4) </w:t>
      </w:r>
      <w:r w:rsidR="00265EAE" w:rsidRPr="00265EAE">
        <w:rPr>
          <w:rFonts w:cs="AdvP7C34"/>
          <w:highlight w:val="yellow"/>
        </w:rPr>
        <w:t>предшествующая изоляция от</w:t>
      </w:r>
      <w:r w:rsidR="00265EAE" w:rsidRPr="00265EAE">
        <w:rPr>
          <w:rFonts w:cs="AdvP7C34"/>
        </w:rPr>
        <w:t xml:space="preserve"> </w:t>
      </w:r>
      <w:r w:rsidR="00265EAE" w:rsidRPr="001B659B">
        <w:rPr>
          <w:rFonts w:cs="AdvP7C34"/>
        </w:rPr>
        <w:t>P</w:t>
      </w:r>
      <w:r w:rsidR="00265EAE">
        <w:rPr>
          <w:rFonts w:cs="AdvP7C34"/>
        </w:rPr>
        <w:t>.</w:t>
      </w:r>
      <w:r w:rsidR="00265EAE" w:rsidRPr="001B659B">
        <w:rPr>
          <w:rFonts w:cs="AdvP7C34"/>
        </w:rPr>
        <w:t xml:space="preserve"> </w:t>
      </w:r>
      <w:proofErr w:type="spellStart"/>
      <w:proofErr w:type="gramStart"/>
      <w:r w:rsidR="003E7472">
        <w:rPr>
          <w:rFonts w:cs="AdvP7C34"/>
        </w:rPr>
        <w:t>а</w:t>
      </w:r>
      <w:proofErr w:type="gramEnd"/>
      <w:r w:rsidR="00265EAE" w:rsidRPr="001B659B">
        <w:rPr>
          <w:rFonts w:cs="AdvP7C34"/>
        </w:rPr>
        <w:t>eruginosa</w:t>
      </w:r>
      <w:proofErr w:type="spellEnd"/>
      <w:r w:rsidR="00265EAE">
        <w:rPr>
          <w:rFonts w:cs="AdvP7C34"/>
        </w:rPr>
        <w:t xml:space="preserve"> в период обострения или </w:t>
      </w:r>
      <w:r w:rsidR="00EF58F6" w:rsidRPr="00EF58F6">
        <w:rPr>
          <w:rFonts w:cs="AdvP7C34"/>
        </w:rPr>
        <w:t>инфицированность</w:t>
      </w:r>
      <w:r w:rsidR="00265EAE" w:rsidRPr="00EF58F6">
        <w:rPr>
          <w:rFonts w:cs="AdvP7C34"/>
        </w:rPr>
        <w:t xml:space="preserve"> пациента P. </w:t>
      </w:r>
      <w:proofErr w:type="spellStart"/>
      <w:r w:rsidR="00265EAE" w:rsidRPr="00EF58F6">
        <w:rPr>
          <w:rFonts w:cs="AdvP7C34"/>
        </w:rPr>
        <w:t>Aeruginosa</w:t>
      </w:r>
      <w:proofErr w:type="spellEnd"/>
      <w:r w:rsidR="00265EAE">
        <w:rPr>
          <w:rFonts w:cs="AdvP7C34"/>
        </w:rPr>
        <w:t xml:space="preserve"> (А3).</w:t>
      </w:r>
    </w:p>
    <w:p w:rsidR="00B23B8E" w:rsidRDefault="00E5083D" w:rsidP="009945C2">
      <w:pPr>
        <w:rPr>
          <w:rFonts w:cs="AdvP7C34"/>
          <w:i/>
        </w:rPr>
      </w:pPr>
      <w:r>
        <w:rPr>
          <w:rFonts w:cs="AdvP7C34"/>
          <w:i/>
        </w:rPr>
        <w:t xml:space="preserve">Каким пациентам с обострением ХОБЛ рекомендовано проведение </w:t>
      </w:r>
      <w:proofErr w:type="gramStart"/>
      <w:r>
        <w:rPr>
          <w:rFonts w:cs="AdvP7C34"/>
          <w:i/>
        </w:rPr>
        <w:t>микробиологического</w:t>
      </w:r>
      <w:proofErr w:type="gramEnd"/>
      <w:r>
        <w:rPr>
          <w:rFonts w:cs="AdvP7C34"/>
          <w:i/>
        </w:rPr>
        <w:t xml:space="preserve"> исследовании?</w:t>
      </w:r>
    </w:p>
    <w:p w:rsidR="00B23B8E" w:rsidRDefault="00D40E9D" w:rsidP="009945C2">
      <w:pPr>
        <w:rPr>
          <w:rFonts w:cs="AdvP7C2E"/>
        </w:rPr>
      </w:pPr>
      <w:r>
        <w:rPr>
          <w:rFonts w:cs="AdvP7C34"/>
        </w:rPr>
        <w:t>Пациенты</w:t>
      </w:r>
      <w:r w:rsidR="00B23B8E">
        <w:rPr>
          <w:rFonts w:cs="AdvP7C34"/>
        </w:rPr>
        <w:t xml:space="preserve"> с тяжёлым обострением ХОБЛ (пациенты группы </w:t>
      </w:r>
      <w:r>
        <w:rPr>
          <w:rFonts w:cs="AdvP7C34"/>
        </w:rPr>
        <w:t xml:space="preserve">С), </w:t>
      </w:r>
      <w:r w:rsidR="0027543B">
        <w:rPr>
          <w:rFonts w:cs="AdvP7C34"/>
        </w:rPr>
        <w:t xml:space="preserve">имеющие инфекции, </w:t>
      </w:r>
      <w:r>
        <w:rPr>
          <w:rFonts w:cs="AdvP7C34"/>
        </w:rPr>
        <w:t>плохо поддающиеся лечению (</w:t>
      </w:r>
      <w:r w:rsidRPr="001B659B">
        <w:rPr>
          <w:rFonts w:cs="AdvP7C34"/>
        </w:rPr>
        <w:t>P</w:t>
      </w:r>
      <w:r>
        <w:rPr>
          <w:rFonts w:cs="AdvP7C34"/>
        </w:rPr>
        <w:t>.</w:t>
      </w:r>
      <w:r w:rsidRPr="001B659B">
        <w:rPr>
          <w:rFonts w:cs="AdvP7C34"/>
        </w:rPr>
        <w:t xml:space="preserve"> </w:t>
      </w:r>
      <w:proofErr w:type="spellStart"/>
      <w:r w:rsidR="003E7472">
        <w:rPr>
          <w:rFonts w:cs="AdvP7C34"/>
        </w:rPr>
        <w:t>а</w:t>
      </w:r>
      <w:r w:rsidRPr="001B659B">
        <w:rPr>
          <w:rFonts w:cs="AdvP7C34"/>
        </w:rPr>
        <w:t>eruginosa</w:t>
      </w:r>
      <w:proofErr w:type="spellEnd"/>
      <w:r w:rsidR="00F53FD7">
        <w:rPr>
          <w:rFonts w:cs="AdvP7C34"/>
        </w:rPr>
        <w:t xml:space="preserve">), или потенциально резистентные к терапии (предшествующее применение антибиотиков или </w:t>
      </w:r>
      <w:r w:rsidR="00F53FD7" w:rsidRPr="00711C60">
        <w:rPr>
          <w:rFonts w:cs="AdvP7C34"/>
        </w:rPr>
        <w:t>оральных</w:t>
      </w:r>
      <w:r w:rsidR="00F53FD7">
        <w:rPr>
          <w:rFonts w:cs="AdvP7C34"/>
        </w:rPr>
        <w:t xml:space="preserve"> стероидов, длительный стаж заболевания, более четырёх обострений заболевания в год, ОФВ</w:t>
      </w:r>
      <w:proofErr w:type="gramStart"/>
      <w:r w:rsidR="00F53FD7">
        <w:rPr>
          <w:rFonts w:cs="AdvP7C34"/>
        </w:rPr>
        <w:t>1</w:t>
      </w:r>
      <w:proofErr w:type="gramEnd"/>
      <w:r w:rsidR="00F53FD7" w:rsidRPr="00FD6957">
        <w:rPr>
          <w:rFonts w:cs="AdvP7C34"/>
        </w:rPr>
        <w:t>&lt;</w:t>
      </w:r>
      <w:r w:rsidR="00F53FD7">
        <w:rPr>
          <w:rFonts w:cs="AdvP7C34"/>
        </w:rPr>
        <w:t xml:space="preserve"> 30%), </w:t>
      </w:r>
      <w:r w:rsidR="00605DDF">
        <w:rPr>
          <w:rFonts w:cs="AdvP7C2E"/>
        </w:rPr>
        <w:t>пациенты с</w:t>
      </w:r>
      <w:r w:rsidR="00711C60">
        <w:rPr>
          <w:rFonts w:cs="AdvP7C2E"/>
        </w:rPr>
        <w:t xml:space="preserve"> инфицированной мокротой и</w:t>
      </w:r>
      <w:r w:rsidR="00605DDF">
        <w:rPr>
          <w:rFonts w:cs="AdvP7C2E"/>
        </w:rPr>
        <w:t xml:space="preserve"> </w:t>
      </w:r>
      <w:proofErr w:type="spellStart"/>
      <w:r w:rsidR="00605DDF">
        <w:rPr>
          <w:rFonts w:cs="AdvP7C2E"/>
        </w:rPr>
        <w:t>эндотрахеальной</w:t>
      </w:r>
      <w:proofErr w:type="spellEnd"/>
      <w:r w:rsidR="00F53FD7">
        <w:rPr>
          <w:rFonts w:cs="AdvP7C2E"/>
        </w:rPr>
        <w:t xml:space="preserve"> аспираци</w:t>
      </w:r>
      <w:r w:rsidR="00605DDF">
        <w:rPr>
          <w:rFonts w:cs="AdvP7C2E"/>
        </w:rPr>
        <w:t>ей</w:t>
      </w:r>
      <w:r w:rsidR="00F53FD7">
        <w:rPr>
          <w:rFonts w:cs="AdvP7C2E"/>
        </w:rPr>
        <w:t xml:space="preserve"> (при </w:t>
      </w:r>
      <w:r w:rsidR="003E7472">
        <w:rPr>
          <w:rFonts w:cs="AdvP7C2E"/>
        </w:rPr>
        <w:t>искусственной вентиляции лёгких)</w:t>
      </w:r>
      <w:r w:rsidR="00E5083D">
        <w:rPr>
          <w:rFonts w:cs="AdvP7C2E"/>
        </w:rPr>
        <w:t xml:space="preserve"> должны проходить микробиологическое исследование (А3).</w:t>
      </w:r>
    </w:p>
    <w:p w:rsidR="006D5B8D" w:rsidRDefault="006D5B8D" w:rsidP="009945C2">
      <w:pPr>
        <w:rPr>
          <w:rFonts w:cs="AdvP7C2E"/>
          <w:i/>
        </w:rPr>
      </w:pPr>
      <w:r>
        <w:rPr>
          <w:rFonts w:cs="AdvP7C2E"/>
          <w:i/>
        </w:rPr>
        <w:t xml:space="preserve">Какие антибиотики предпочтительны при начале лечения </w:t>
      </w:r>
      <w:r w:rsidR="004305E3">
        <w:rPr>
          <w:rFonts w:cs="AdvP7C2E"/>
          <w:i/>
        </w:rPr>
        <w:t xml:space="preserve">у </w:t>
      </w:r>
      <w:r>
        <w:rPr>
          <w:rFonts w:cs="AdvP7C2E"/>
          <w:i/>
        </w:rPr>
        <w:t>госпитализированных пациентов с обострением ХОБЛ?</w:t>
      </w:r>
    </w:p>
    <w:p w:rsidR="004305E3" w:rsidRDefault="004305E3" w:rsidP="009945C2">
      <w:pPr>
        <w:rPr>
          <w:rFonts w:cs="AdvP7C34"/>
        </w:rPr>
      </w:pPr>
      <w:r>
        <w:rPr>
          <w:rFonts w:cs="AdvP7C2E"/>
        </w:rPr>
        <w:t xml:space="preserve">У пациентов, не имеющих факторов риска развития инфекции, вызванной </w:t>
      </w:r>
      <w:r w:rsidRPr="001B659B">
        <w:rPr>
          <w:rFonts w:cs="AdvP7C34"/>
        </w:rPr>
        <w:t>P</w:t>
      </w:r>
      <w:r>
        <w:rPr>
          <w:rFonts w:cs="AdvP7C34"/>
        </w:rPr>
        <w:t>.</w:t>
      </w:r>
      <w:r w:rsidRPr="001B659B">
        <w:rPr>
          <w:rFonts w:cs="AdvP7C34"/>
        </w:rPr>
        <w:t xml:space="preserve"> </w:t>
      </w:r>
      <w:proofErr w:type="spellStart"/>
      <w:proofErr w:type="gramStart"/>
      <w:r>
        <w:rPr>
          <w:rFonts w:cs="AdvP7C34"/>
        </w:rPr>
        <w:t>а</w:t>
      </w:r>
      <w:proofErr w:type="gramEnd"/>
      <w:r w:rsidRPr="001B659B">
        <w:rPr>
          <w:rFonts w:cs="AdvP7C34"/>
        </w:rPr>
        <w:t>eruginosa</w:t>
      </w:r>
      <w:proofErr w:type="spellEnd"/>
      <w:r>
        <w:rPr>
          <w:rFonts w:cs="AdvP7C34"/>
        </w:rPr>
        <w:t xml:space="preserve">, возможно использование нескольких антибиотиков. Выбор препарата зависит от тяжести обострения, </w:t>
      </w:r>
      <w:proofErr w:type="spellStart"/>
      <w:r>
        <w:rPr>
          <w:rFonts w:cs="AdvP7C34"/>
        </w:rPr>
        <w:t>антибиотикорезистентности</w:t>
      </w:r>
      <w:proofErr w:type="spellEnd"/>
      <w:r>
        <w:rPr>
          <w:rFonts w:cs="AdvP7C34"/>
        </w:rPr>
        <w:t xml:space="preserve"> бактерий на данной территории, переносимости и стоимости препарата, а также от </w:t>
      </w:r>
      <w:proofErr w:type="spellStart"/>
      <w:r>
        <w:rPr>
          <w:rFonts w:cs="AdvP7C34"/>
        </w:rPr>
        <w:t>комплаентности</w:t>
      </w:r>
      <w:proofErr w:type="spellEnd"/>
      <w:r>
        <w:rPr>
          <w:rFonts w:cs="AdvP7C34"/>
        </w:rPr>
        <w:t xml:space="preserve"> пациента. </w:t>
      </w:r>
      <w:proofErr w:type="spellStart"/>
      <w:r>
        <w:rPr>
          <w:rFonts w:cs="AdvP7C34"/>
        </w:rPr>
        <w:t>Амоксициллин</w:t>
      </w:r>
      <w:proofErr w:type="spellEnd"/>
      <w:r>
        <w:rPr>
          <w:rFonts w:cs="AdvP7C34"/>
        </w:rPr>
        <w:t xml:space="preserve"> или тетрациклин рекомендован при лёгком обострении (при котором пациент, как правило, может лечиться дома). </w:t>
      </w:r>
      <w:proofErr w:type="spellStart"/>
      <w:r>
        <w:rPr>
          <w:rFonts w:cs="AdvP7C34"/>
        </w:rPr>
        <w:t>Ко-амоксиклав</w:t>
      </w:r>
      <w:proofErr w:type="spellEnd"/>
      <w:r>
        <w:rPr>
          <w:rFonts w:cs="AdvP7C34"/>
        </w:rPr>
        <w:t xml:space="preserve"> рекомендован госпитализированным пациента</w:t>
      </w:r>
      <w:r w:rsidR="005D036E">
        <w:rPr>
          <w:rFonts w:cs="AdvP7C34"/>
        </w:rPr>
        <w:t>м с обострением средней тяжести (А</w:t>
      </w:r>
      <w:proofErr w:type="gramStart"/>
      <w:r w:rsidR="005D036E">
        <w:rPr>
          <w:rFonts w:cs="AdvP7C34"/>
        </w:rPr>
        <w:t>2</w:t>
      </w:r>
      <w:proofErr w:type="gramEnd"/>
      <w:r w:rsidR="005D036E">
        <w:rPr>
          <w:rFonts w:cs="AdvP7C34"/>
        </w:rPr>
        <w:t>).</w:t>
      </w:r>
    </w:p>
    <w:p w:rsidR="005D036E" w:rsidRDefault="005D036E" w:rsidP="009945C2">
      <w:pPr>
        <w:rPr>
          <w:rFonts w:cs="AdvP7C34"/>
        </w:rPr>
      </w:pPr>
      <w:r>
        <w:rPr>
          <w:rFonts w:cs="AdvP7C34"/>
        </w:rPr>
        <w:t>У пациентов, имеющих факторы риска развития инфекции, вызванной</w:t>
      </w:r>
      <w:r>
        <w:rPr>
          <w:rFonts w:cs="AdvP7C2E"/>
        </w:rPr>
        <w:t xml:space="preserve"> </w:t>
      </w:r>
      <w:r w:rsidRPr="001B659B">
        <w:rPr>
          <w:rFonts w:cs="AdvP7C34"/>
        </w:rPr>
        <w:t>P</w:t>
      </w:r>
      <w:r>
        <w:rPr>
          <w:rFonts w:cs="AdvP7C34"/>
        </w:rPr>
        <w:t>.</w:t>
      </w:r>
      <w:r w:rsidRPr="001B659B">
        <w:rPr>
          <w:rFonts w:cs="AdvP7C34"/>
        </w:rPr>
        <w:t xml:space="preserve"> </w:t>
      </w:r>
      <w:proofErr w:type="spellStart"/>
      <w:proofErr w:type="gramStart"/>
      <w:r>
        <w:rPr>
          <w:rFonts w:cs="AdvP7C34"/>
        </w:rPr>
        <w:t>а</w:t>
      </w:r>
      <w:proofErr w:type="gramEnd"/>
      <w:r w:rsidRPr="001B659B">
        <w:rPr>
          <w:rFonts w:cs="AdvP7C34"/>
        </w:rPr>
        <w:t>eruginosa</w:t>
      </w:r>
      <w:proofErr w:type="spellEnd"/>
      <w:r>
        <w:rPr>
          <w:rFonts w:cs="AdvP7C34"/>
        </w:rPr>
        <w:t xml:space="preserve">, </w:t>
      </w:r>
      <w:proofErr w:type="spellStart"/>
      <w:r>
        <w:rPr>
          <w:rFonts w:cs="AdvP7C34"/>
        </w:rPr>
        <w:t>ципрофлоксацин</w:t>
      </w:r>
      <w:proofErr w:type="spellEnd"/>
      <w:r>
        <w:rPr>
          <w:rFonts w:cs="AdvP7C34"/>
        </w:rPr>
        <w:t xml:space="preserve"> является антибиотиком выбора при возможности </w:t>
      </w:r>
      <w:proofErr w:type="spellStart"/>
      <w:r>
        <w:rPr>
          <w:rFonts w:cs="AdvP7C34"/>
        </w:rPr>
        <w:t>перорального</w:t>
      </w:r>
      <w:proofErr w:type="spellEnd"/>
      <w:r>
        <w:rPr>
          <w:rFonts w:cs="AdvP7C34"/>
        </w:rPr>
        <w:t xml:space="preserve"> приёма. При необход</w:t>
      </w:r>
      <w:r w:rsidR="00740884">
        <w:rPr>
          <w:rFonts w:cs="AdvP7C34"/>
        </w:rPr>
        <w:t xml:space="preserve">имости </w:t>
      </w:r>
      <w:proofErr w:type="spellStart"/>
      <w:r w:rsidR="00740884">
        <w:rPr>
          <w:rFonts w:cs="AdvP7C34"/>
        </w:rPr>
        <w:t>парэнтерального</w:t>
      </w:r>
      <w:proofErr w:type="spellEnd"/>
      <w:r w:rsidR="00740884">
        <w:rPr>
          <w:rFonts w:cs="AdvP7C34"/>
        </w:rPr>
        <w:t xml:space="preserve"> введения</w:t>
      </w:r>
      <w:r>
        <w:rPr>
          <w:rFonts w:cs="AdvP7C34"/>
        </w:rPr>
        <w:t xml:space="preserve"> </w:t>
      </w:r>
      <w:r w:rsidR="00740884">
        <w:rPr>
          <w:rFonts w:cs="AdvP7C34"/>
        </w:rPr>
        <w:t xml:space="preserve">возможно </w:t>
      </w:r>
      <w:r>
        <w:rPr>
          <w:rFonts w:cs="AdvP7C34"/>
        </w:rPr>
        <w:t xml:space="preserve">использование </w:t>
      </w:r>
      <w:proofErr w:type="spellStart"/>
      <w:r>
        <w:rPr>
          <w:rFonts w:cs="AdvP7C34"/>
        </w:rPr>
        <w:t>ципрофлоксацина</w:t>
      </w:r>
      <w:proofErr w:type="spellEnd"/>
      <w:r>
        <w:rPr>
          <w:rFonts w:cs="AdvP7C34"/>
        </w:rPr>
        <w:t xml:space="preserve"> или </w:t>
      </w:r>
      <w:proofErr w:type="gramStart"/>
      <w:r>
        <w:rPr>
          <w:rFonts w:cs="AdvP7C34"/>
        </w:rPr>
        <w:t>β-</w:t>
      </w:r>
      <w:proofErr w:type="gramEnd"/>
      <w:r>
        <w:rPr>
          <w:rFonts w:cs="AdvP7C34"/>
        </w:rPr>
        <w:t>лактамов с</w:t>
      </w:r>
      <w:r w:rsidR="00740884">
        <w:rPr>
          <w:rFonts w:cs="AdvP7C34"/>
        </w:rPr>
        <w:t xml:space="preserve"> </w:t>
      </w:r>
      <w:proofErr w:type="spellStart"/>
      <w:r w:rsidR="00740884">
        <w:rPr>
          <w:rFonts w:cs="AdvP7C34"/>
        </w:rPr>
        <w:t>антипсевдомоназной</w:t>
      </w:r>
      <w:proofErr w:type="spellEnd"/>
      <w:r w:rsidR="00740884">
        <w:rPr>
          <w:rFonts w:cs="AdvP7C34"/>
        </w:rPr>
        <w:t xml:space="preserve"> активностью</w:t>
      </w:r>
      <w:r>
        <w:rPr>
          <w:rFonts w:cs="AdvP7C34"/>
        </w:rPr>
        <w:t xml:space="preserve">. Кроме  того допустимо применение </w:t>
      </w:r>
      <w:proofErr w:type="spellStart"/>
      <w:r>
        <w:rPr>
          <w:rFonts w:cs="AdvP7C34"/>
        </w:rPr>
        <w:t>аминогликозидов</w:t>
      </w:r>
      <w:proofErr w:type="spellEnd"/>
      <w:r>
        <w:rPr>
          <w:rFonts w:cs="AdvP7C34"/>
        </w:rPr>
        <w:t xml:space="preserve"> (А</w:t>
      </w:r>
      <w:proofErr w:type="gramStart"/>
      <w:r>
        <w:rPr>
          <w:rFonts w:cs="AdvP7C34"/>
        </w:rPr>
        <w:t>2</w:t>
      </w:r>
      <w:proofErr w:type="gramEnd"/>
      <w:r>
        <w:rPr>
          <w:rFonts w:cs="AdvP7C34"/>
        </w:rPr>
        <w:t>).</w:t>
      </w:r>
    </w:p>
    <w:p w:rsidR="00A87941" w:rsidRDefault="005641E6" w:rsidP="009945C2">
      <w:pPr>
        <w:rPr>
          <w:rFonts w:cs="AdvP7C34"/>
        </w:rPr>
      </w:pPr>
      <w:r>
        <w:rPr>
          <w:rFonts w:cs="AdvP7C34"/>
        </w:rPr>
        <w:t xml:space="preserve">Выбор пути введения (оральный или внутривенный) зависит от стабильности клинического состояния и тяжести обострения. Переход от внутривенного введения к </w:t>
      </w:r>
      <w:proofErr w:type="spellStart"/>
      <w:r>
        <w:rPr>
          <w:rFonts w:cs="AdvP7C34"/>
        </w:rPr>
        <w:t>пероральму</w:t>
      </w:r>
      <w:proofErr w:type="spellEnd"/>
      <w:r>
        <w:rPr>
          <w:rFonts w:cs="AdvP7C34"/>
        </w:rPr>
        <w:t xml:space="preserve"> </w:t>
      </w:r>
      <w:r w:rsidR="00A87941">
        <w:rPr>
          <w:rFonts w:cs="AdvP7C34"/>
        </w:rPr>
        <w:t>рекомендовано совершать на третий день</w:t>
      </w:r>
      <w:r w:rsidR="0033596D">
        <w:rPr>
          <w:rFonts w:cs="AdvP7C34"/>
        </w:rPr>
        <w:t xml:space="preserve"> лечения в стационаре</w:t>
      </w:r>
      <w:r w:rsidR="00A87941">
        <w:rPr>
          <w:rFonts w:cs="AdvP7C34"/>
        </w:rPr>
        <w:t xml:space="preserve"> в случае стабильности клинического состояния. (А3)</w:t>
      </w:r>
    </w:p>
    <w:p w:rsidR="005D036E" w:rsidRDefault="005641E6" w:rsidP="009945C2">
      <w:pPr>
        <w:rPr>
          <w:rFonts w:cs="AdvP7C34"/>
          <w:i/>
        </w:rPr>
      </w:pPr>
      <w:r>
        <w:rPr>
          <w:rFonts w:cs="AdvP7C34"/>
        </w:rPr>
        <w:t xml:space="preserve"> </w:t>
      </w:r>
      <w:r w:rsidR="00B54F68">
        <w:rPr>
          <w:rFonts w:cs="AdvP7C34"/>
          <w:i/>
        </w:rPr>
        <w:t>Какова тактика ведения пациентов с обострением ХОБЛ при неэффективности проводимой терапии?</w:t>
      </w:r>
    </w:p>
    <w:p w:rsidR="00B4213D" w:rsidRDefault="00B54F68" w:rsidP="00B4213D">
      <w:pPr>
        <w:rPr>
          <w:rFonts w:cs="AdvP7C2E"/>
        </w:rPr>
      </w:pPr>
      <w:r>
        <w:rPr>
          <w:rFonts w:cs="AdvP7C34"/>
        </w:rPr>
        <w:lastRenderedPageBreak/>
        <w:t xml:space="preserve">После </w:t>
      </w:r>
      <w:r w:rsidR="0021311C">
        <w:rPr>
          <w:rFonts w:cs="AdvP7C34"/>
        </w:rPr>
        <w:t>исключения</w:t>
      </w:r>
      <w:r>
        <w:rPr>
          <w:rFonts w:cs="AdvP7C34"/>
        </w:rPr>
        <w:t xml:space="preserve"> </w:t>
      </w:r>
      <w:r w:rsidR="00C5685D">
        <w:rPr>
          <w:rFonts w:cs="AdvP7C34"/>
        </w:rPr>
        <w:t xml:space="preserve">значения </w:t>
      </w:r>
      <w:r>
        <w:rPr>
          <w:rFonts w:cs="AdvP7C34"/>
        </w:rPr>
        <w:t xml:space="preserve">неинфекционных причин (т.е. неадекватное лечение, </w:t>
      </w:r>
      <w:r w:rsidR="0021311C">
        <w:rPr>
          <w:rFonts w:cs="AdvP7C34"/>
        </w:rPr>
        <w:t>ТЭЛА, сердечная недостаточность и др.) в отсутствии ответа на лечение рекомендовано проведение тщательного микробиологического исследования</w:t>
      </w:r>
      <w:r w:rsidR="0021311C" w:rsidRPr="0021311C">
        <w:rPr>
          <w:rFonts w:cs="AdvP7C34"/>
        </w:rPr>
        <w:t xml:space="preserve"> </w:t>
      </w:r>
      <w:proofErr w:type="spellStart"/>
      <w:r w:rsidR="0021311C" w:rsidRPr="0021311C">
        <w:rPr>
          <w:rFonts w:cs="AdvP7C2E"/>
          <w:highlight w:val="yellow"/>
        </w:rPr>
        <w:t>microbiological</w:t>
      </w:r>
      <w:proofErr w:type="spellEnd"/>
      <w:r w:rsidR="0021311C" w:rsidRPr="0021311C">
        <w:rPr>
          <w:rFonts w:cs="AdvP7C2E"/>
          <w:highlight w:val="yellow"/>
        </w:rPr>
        <w:t xml:space="preserve"> </w:t>
      </w:r>
      <w:proofErr w:type="spellStart"/>
      <w:r w:rsidR="0021311C" w:rsidRPr="0021311C">
        <w:rPr>
          <w:rFonts w:cs="AdvP7C2E"/>
          <w:highlight w:val="yellow"/>
        </w:rPr>
        <w:t>diagnosis</w:t>
      </w:r>
      <w:proofErr w:type="spellEnd"/>
      <w:r w:rsidR="0021311C" w:rsidRPr="0021311C">
        <w:rPr>
          <w:rFonts w:cs="AdvP7C2E"/>
          <w:highlight w:val="yellow"/>
        </w:rPr>
        <w:t xml:space="preserve"> </w:t>
      </w:r>
      <w:proofErr w:type="spellStart"/>
      <w:r w:rsidR="0021311C" w:rsidRPr="0021311C">
        <w:rPr>
          <w:rFonts w:cs="AdvP7C2E"/>
          <w:highlight w:val="yellow"/>
        </w:rPr>
        <w:t>section</w:t>
      </w:r>
      <w:proofErr w:type="spellEnd"/>
      <w:r w:rsidR="0021311C">
        <w:rPr>
          <w:rFonts w:cs="AdvP7C2E"/>
        </w:rPr>
        <w:t xml:space="preserve"> (С3).</w:t>
      </w:r>
    </w:p>
    <w:p w:rsidR="0021311C" w:rsidRDefault="0021311C" w:rsidP="00B4213D">
      <w:pPr>
        <w:rPr>
          <w:rFonts w:cs="AdvP7C34"/>
        </w:rPr>
      </w:pPr>
      <w:r>
        <w:rPr>
          <w:rFonts w:cs="AdvP7C2E"/>
        </w:rPr>
        <w:t>При неэфф</w:t>
      </w:r>
      <w:r w:rsidR="00985896">
        <w:rPr>
          <w:rFonts w:cs="AdvP7C2E"/>
        </w:rPr>
        <w:t xml:space="preserve">ективности терапии рекомендовано сменить антибиотик на препарат, обладающий хорошей активностью против </w:t>
      </w:r>
      <w:r w:rsidR="00985896" w:rsidRPr="00985896">
        <w:rPr>
          <w:rFonts w:cs="AdvP7C34"/>
        </w:rPr>
        <w:t xml:space="preserve">P. </w:t>
      </w:r>
      <w:proofErr w:type="spellStart"/>
      <w:r w:rsidR="00985896" w:rsidRPr="00985896">
        <w:rPr>
          <w:rFonts w:cs="AdvP7C34"/>
        </w:rPr>
        <w:t>aeruginosa</w:t>
      </w:r>
      <w:proofErr w:type="spellEnd"/>
      <w:r w:rsidR="00985896" w:rsidRPr="00985896">
        <w:rPr>
          <w:rFonts w:cs="AdvP7C34"/>
        </w:rPr>
        <w:t xml:space="preserve"> и S. </w:t>
      </w:r>
      <w:proofErr w:type="spellStart"/>
      <w:proofErr w:type="gramStart"/>
      <w:r w:rsidR="00902BB9">
        <w:rPr>
          <w:rFonts w:cs="AdvP7C34"/>
        </w:rPr>
        <w:t>Р</w:t>
      </w:r>
      <w:proofErr w:type="gramEnd"/>
      <w:r w:rsidR="00985896" w:rsidRPr="00985896">
        <w:rPr>
          <w:rFonts w:cs="AdvP7C34"/>
        </w:rPr>
        <w:t>neumoniae</w:t>
      </w:r>
      <w:proofErr w:type="spellEnd"/>
      <w:r w:rsidR="00902BB9">
        <w:rPr>
          <w:rFonts w:cs="AdvP7C34"/>
        </w:rPr>
        <w:t>, устойчивых к незащищённым антибиотикам, а в последствии назначить препарат в соответствии с результатами микробиологического исследования</w:t>
      </w:r>
      <w:r w:rsidR="00DA0891">
        <w:rPr>
          <w:rFonts w:cs="AdvP7C34"/>
        </w:rPr>
        <w:t xml:space="preserve"> (С3)</w:t>
      </w:r>
      <w:r w:rsidR="00902BB9">
        <w:rPr>
          <w:rFonts w:cs="AdvP7C34"/>
        </w:rPr>
        <w:t>.</w:t>
      </w:r>
    </w:p>
    <w:p w:rsidR="00B4213D" w:rsidRDefault="00B4213D" w:rsidP="00985896">
      <w:pPr>
        <w:autoSpaceDE w:val="0"/>
        <w:autoSpaceDN w:val="0"/>
        <w:adjustRightInd w:val="0"/>
        <w:spacing w:after="0" w:line="240" w:lineRule="auto"/>
        <w:rPr>
          <w:rFonts w:cs="AdvP7C34"/>
        </w:rPr>
      </w:pPr>
    </w:p>
    <w:p w:rsidR="00FA0CB1" w:rsidRDefault="00B4213D" w:rsidP="00FA0CB1">
      <w:pPr>
        <w:autoSpaceDE w:val="0"/>
        <w:autoSpaceDN w:val="0"/>
        <w:adjustRightInd w:val="0"/>
        <w:rPr>
          <w:rFonts w:cs="AdvP7C34"/>
          <w:u w:val="single"/>
        </w:rPr>
      </w:pPr>
      <w:r>
        <w:rPr>
          <w:rFonts w:cs="AdvP7C34"/>
          <w:u w:val="single"/>
        </w:rPr>
        <w:t>Общие рекомендации при обострении бронхоэктатической болезни</w:t>
      </w:r>
    </w:p>
    <w:p w:rsidR="00B4213D" w:rsidRDefault="00B4213D" w:rsidP="00FA0CB1">
      <w:pPr>
        <w:autoSpaceDE w:val="0"/>
        <w:autoSpaceDN w:val="0"/>
        <w:adjustRightInd w:val="0"/>
        <w:rPr>
          <w:rFonts w:cs="AdvP7C2E"/>
        </w:rPr>
      </w:pPr>
      <w:r>
        <w:rPr>
          <w:rFonts w:cs="AdvP7C34"/>
        </w:rPr>
        <w:t xml:space="preserve">Общие рекомендации следующие. 1) Периодический контроль за </w:t>
      </w:r>
      <w:r w:rsidR="00CB697D">
        <w:rPr>
          <w:rFonts w:cs="AdvP7C34"/>
        </w:rPr>
        <w:t>инфицированностью мокроты</w:t>
      </w:r>
      <w:r>
        <w:rPr>
          <w:rFonts w:cs="AdvP7C34"/>
        </w:rPr>
        <w:t xml:space="preserve"> (В3), частота устанавливается индивидуально. </w:t>
      </w:r>
      <w:proofErr w:type="gramStart"/>
      <w:r>
        <w:rPr>
          <w:rFonts w:cs="AdvP7C34"/>
        </w:rPr>
        <w:t xml:space="preserve">2) </w:t>
      </w:r>
      <w:proofErr w:type="gramEnd"/>
      <w:r>
        <w:rPr>
          <w:rFonts w:cs="AdvP7C34"/>
        </w:rPr>
        <w:t>Антибактериальная терапия оправдана у большинства пациентов с обострением (В3). 3) Микробиологическое исследование мокроты до начала антибактериальной терапии рекомендовано</w:t>
      </w:r>
      <w:r w:rsidR="00EB36BC">
        <w:rPr>
          <w:rFonts w:cs="AdvP7C34"/>
        </w:rPr>
        <w:t xml:space="preserve"> в большинстве случаев</w:t>
      </w:r>
      <w:r w:rsidR="0072729F">
        <w:rPr>
          <w:rFonts w:cs="AdvP7C34"/>
        </w:rPr>
        <w:t>,</w:t>
      </w:r>
      <w:r w:rsidR="00EB36BC">
        <w:rPr>
          <w:rFonts w:cs="AdvP7C34"/>
        </w:rPr>
        <w:t xml:space="preserve"> и </w:t>
      </w:r>
      <w:r w:rsidR="0072729F">
        <w:rPr>
          <w:rFonts w:cs="AdvP7C34"/>
        </w:rPr>
        <w:t>особенно когда в дальнейшем планируется госпитализация</w:t>
      </w:r>
      <w:r w:rsidR="00EB36BC">
        <w:rPr>
          <w:rFonts w:cs="AdvP7C34"/>
        </w:rPr>
        <w:t xml:space="preserve"> (В3). 4) При эмпирическом подборе антибактериального препарата следует проводить стратификацию риска </w:t>
      </w:r>
      <w:r w:rsidR="00356D0C">
        <w:rPr>
          <w:rFonts w:cs="AdvP7C34"/>
        </w:rPr>
        <w:t xml:space="preserve">инфицирования </w:t>
      </w:r>
      <w:proofErr w:type="spellStart"/>
      <w:r w:rsidR="00EB36BC" w:rsidRPr="00EB36BC">
        <w:rPr>
          <w:rFonts w:cs="AdvP7C34"/>
        </w:rPr>
        <w:t>Pseudomonas</w:t>
      </w:r>
      <w:proofErr w:type="spellEnd"/>
      <w:r w:rsidR="00EB36BC" w:rsidRPr="00EB36BC">
        <w:rPr>
          <w:rFonts w:cs="AdvP7C34"/>
        </w:rPr>
        <w:t xml:space="preserve"> </w:t>
      </w:r>
      <w:proofErr w:type="spellStart"/>
      <w:r w:rsidR="00EB36BC" w:rsidRPr="00EB36BC">
        <w:rPr>
          <w:rFonts w:cs="AdvP7C2E"/>
        </w:rPr>
        <w:t>spp</w:t>
      </w:r>
      <w:proofErr w:type="spellEnd"/>
      <w:r w:rsidR="00EB36BC" w:rsidRPr="00EB36BC">
        <w:rPr>
          <w:rFonts w:cs="AdvP7C2E"/>
        </w:rPr>
        <w:t>.</w:t>
      </w:r>
      <w:r w:rsidR="00EB36BC">
        <w:rPr>
          <w:rFonts w:cs="AdvP7C2E"/>
        </w:rPr>
        <w:t xml:space="preserve"> (В3). Рекомендуемые антибиотики представлены в таблице 5. Эмпирическая </w:t>
      </w:r>
      <w:proofErr w:type="spellStart"/>
      <w:r w:rsidR="00EB36BC">
        <w:rPr>
          <w:rFonts w:cs="AdvP7C2E"/>
        </w:rPr>
        <w:t>антибиотикотерапия</w:t>
      </w:r>
      <w:proofErr w:type="spellEnd"/>
      <w:r w:rsidR="00EB36BC">
        <w:rPr>
          <w:rFonts w:cs="AdvP7C2E"/>
        </w:rPr>
        <w:t xml:space="preserve"> должна корректироваться и изменяться в зависимости от результатов микробиологического исследования мокроты (А3).</w:t>
      </w:r>
    </w:p>
    <w:p w:rsidR="002C08EB" w:rsidRDefault="002C08EB" w:rsidP="00FA0CB1">
      <w:pPr>
        <w:autoSpaceDE w:val="0"/>
        <w:autoSpaceDN w:val="0"/>
        <w:adjustRightInd w:val="0"/>
        <w:spacing w:after="0"/>
        <w:rPr>
          <w:rFonts w:cs="AdvP7C2E"/>
        </w:rPr>
      </w:pPr>
    </w:p>
    <w:p w:rsidR="002C08EB" w:rsidRDefault="002C08EB" w:rsidP="00086E50">
      <w:pPr>
        <w:autoSpaceDE w:val="0"/>
        <w:autoSpaceDN w:val="0"/>
        <w:adjustRightInd w:val="0"/>
        <w:rPr>
          <w:rFonts w:cs="AdvP7C2E"/>
        </w:rPr>
      </w:pPr>
      <w:r>
        <w:rPr>
          <w:rFonts w:cs="AdvP7C2E"/>
        </w:rPr>
        <w:t xml:space="preserve">Таблица 5 Рекомендации по </w:t>
      </w:r>
      <w:proofErr w:type="spellStart"/>
      <w:r>
        <w:rPr>
          <w:rFonts w:cs="AdvP7C2E"/>
        </w:rPr>
        <w:t>антибиотикотерапии</w:t>
      </w:r>
      <w:proofErr w:type="spellEnd"/>
      <w:r>
        <w:rPr>
          <w:rFonts w:cs="AdvP7C2E"/>
        </w:rPr>
        <w:t xml:space="preserve"> при лечении обострений бронхоэктатической болезни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C08EB" w:rsidTr="002C08EB">
        <w:tc>
          <w:tcPr>
            <w:tcW w:w="3190" w:type="dxa"/>
          </w:tcPr>
          <w:p w:rsidR="002C08EB" w:rsidRDefault="002C08EB" w:rsidP="00086E50">
            <w:pPr>
              <w:autoSpaceDE w:val="0"/>
              <w:autoSpaceDN w:val="0"/>
              <w:adjustRightInd w:val="0"/>
              <w:spacing w:after="200" w:line="276" w:lineRule="auto"/>
              <w:rPr>
                <w:rFonts w:cs="AdvP7C2E"/>
              </w:rPr>
            </w:pPr>
          </w:p>
        </w:tc>
        <w:tc>
          <w:tcPr>
            <w:tcW w:w="3190" w:type="dxa"/>
          </w:tcPr>
          <w:p w:rsidR="002C08EB" w:rsidRPr="002C08EB" w:rsidRDefault="002C08EB" w:rsidP="00086E50">
            <w:pPr>
              <w:autoSpaceDE w:val="0"/>
              <w:autoSpaceDN w:val="0"/>
              <w:adjustRightInd w:val="0"/>
              <w:spacing w:after="200" w:line="276" w:lineRule="auto"/>
              <w:rPr>
                <w:rFonts w:cs="AdvP7C2E"/>
                <w:b/>
              </w:rPr>
            </w:pPr>
            <w:proofErr w:type="spellStart"/>
            <w:r>
              <w:rPr>
                <w:rFonts w:cs="AdvP7C2E"/>
                <w:b/>
              </w:rPr>
              <w:t>Пероральный</w:t>
            </w:r>
            <w:proofErr w:type="spellEnd"/>
            <w:r>
              <w:rPr>
                <w:rFonts w:cs="AdvP7C2E"/>
                <w:b/>
              </w:rPr>
              <w:t xml:space="preserve"> путь введения</w:t>
            </w:r>
          </w:p>
        </w:tc>
        <w:tc>
          <w:tcPr>
            <w:tcW w:w="3191" w:type="dxa"/>
          </w:tcPr>
          <w:p w:rsidR="002C08EB" w:rsidRPr="002C08EB" w:rsidRDefault="002C08EB" w:rsidP="00086E50">
            <w:pPr>
              <w:autoSpaceDE w:val="0"/>
              <w:autoSpaceDN w:val="0"/>
              <w:adjustRightInd w:val="0"/>
              <w:spacing w:after="200" w:line="276" w:lineRule="auto"/>
              <w:rPr>
                <w:rFonts w:cs="AdvP7C2E"/>
                <w:b/>
              </w:rPr>
            </w:pPr>
            <w:proofErr w:type="spellStart"/>
            <w:r>
              <w:rPr>
                <w:rFonts w:cs="AdvP7C2E"/>
                <w:b/>
              </w:rPr>
              <w:t>Парэнтеральный</w:t>
            </w:r>
            <w:proofErr w:type="spellEnd"/>
            <w:r>
              <w:rPr>
                <w:rFonts w:cs="AdvP7C2E"/>
                <w:b/>
              </w:rPr>
              <w:t xml:space="preserve"> путь введения</w:t>
            </w:r>
          </w:p>
        </w:tc>
      </w:tr>
      <w:tr w:rsidR="002C08EB" w:rsidTr="002C08EB">
        <w:tc>
          <w:tcPr>
            <w:tcW w:w="3190" w:type="dxa"/>
          </w:tcPr>
          <w:p w:rsidR="002C08EB" w:rsidRPr="002C08EB" w:rsidRDefault="002C08EB" w:rsidP="00086E50">
            <w:pPr>
              <w:autoSpaceDE w:val="0"/>
              <w:autoSpaceDN w:val="0"/>
              <w:adjustRightInd w:val="0"/>
              <w:spacing w:after="200" w:line="276" w:lineRule="auto"/>
              <w:rPr>
                <w:rFonts w:cs="AdvP7C2E"/>
                <w:b/>
              </w:rPr>
            </w:pPr>
            <w:r>
              <w:rPr>
                <w:rFonts w:cs="AdvP7C2E"/>
                <w:b/>
              </w:rPr>
              <w:t xml:space="preserve">Нет </w:t>
            </w:r>
            <w:r w:rsidRPr="002C08EB">
              <w:rPr>
                <w:rFonts w:cs="AdvP7C2E"/>
                <w:b/>
              </w:rPr>
              <w:t>риска</w:t>
            </w:r>
            <w:r w:rsidRPr="002C08EB">
              <w:rPr>
                <w:rFonts w:cs="AdvPECF816"/>
                <w:b/>
              </w:rPr>
              <w:t xml:space="preserve"> </w:t>
            </w:r>
            <w:proofErr w:type="spellStart"/>
            <w:r w:rsidR="00086E50">
              <w:rPr>
                <w:rFonts w:cs="AdvPECF816"/>
                <w:b/>
              </w:rPr>
              <w:t>инфицмрования</w:t>
            </w:r>
            <w:proofErr w:type="spellEnd"/>
            <w:r w:rsidR="00086E50">
              <w:rPr>
                <w:rFonts w:cs="AdvPECF816"/>
                <w:b/>
              </w:rPr>
              <w:t xml:space="preserve"> </w:t>
            </w:r>
            <w:proofErr w:type="spellStart"/>
            <w:r w:rsidRPr="002C08EB">
              <w:rPr>
                <w:rFonts w:cs="AdvPECF816"/>
                <w:b/>
              </w:rPr>
              <w:t>Pseudomonas</w:t>
            </w:r>
            <w:proofErr w:type="spellEnd"/>
            <w:r w:rsidRPr="002C08EB">
              <w:rPr>
                <w:rFonts w:cs="AdvPECF816"/>
                <w:b/>
              </w:rPr>
              <w:t xml:space="preserve"> </w:t>
            </w:r>
            <w:proofErr w:type="spellStart"/>
            <w:r w:rsidRPr="002C08EB">
              <w:rPr>
                <w:rFonts w:cs="AdvPECF815"/>
                <w:b/>
              </w:rPr>
              <w:t>spp</w:t>
            </w:r>
            <w:proofErr w:type="spellEnd"/>
            <w:r w:rsidRPr="002C08EB">
              <w:rPr>
                <w:rFonts w:cs="AdvPECF815"/>
                <w:b/>
              </w:rPr>
              <w:t>.</w:t>
            </w:r>
            <w:r>
              <w:rPr>
                <w:rFonts w:cs="AdvP7C2E"/>
                <w:b/>
              </w:rPr>
              <w:t xml:space="preserve"> </w:t>
            </w:r>
          </w:p>
        </w:tc>
        <w:tc>
          <w:tcPr>
            <w:tcW w:w="3190" w:type="dxa"/>
          </w:tcPr>
          <w:p w:rsidR="002C08EB" w:rsidRDefault="003613C4" w:rsidP="00086E50">
            <w:pPr>
              <w:autoSpaceDE w:val="0"/>
              <w:autoSpaceDN w:val="0"/>
              <w:adjustRightInd w:val="0"/>
              <w:spacing w:after="200" w:line="276" w:lineRule="auto"/>
              <w:rPr>
                <w:rFonts w:cs="AdvP7C2E"/>
              </w:rPr>
            </w:pPr>
            <w:proofErr w:type="spellStart"/>
            <w:r>
              <w:rPr>
                <w:rFonts w:cs="AdvP7C2E"/>
              </w:rPr>
              <w:t>Амоксициллин-клавуланат</w:t>
            </w:r>
            <w:proofErr w:type="spellEnd"/>
          </w:p>
          <w:p w:rsidR="003613C4" w:rsidRDefault="003613C4" w:rsidP="00086E50">
            <w:pPr>
              <w:autoSpaceDE w:val="0"/>
              <w:autoSpaceDN w:val="0"/>
              <w:adjustRightInd w:val="0"/>
              <w:spacing w:after="200" w:line="276" w:lineRule="auto"/>
              <w:rPr>
                <w:rFonts w:cs="AdvP7C2E"/>
              </w:rPr>
            </w:pPr>
            <w:proofErr w:type="spellStart"/>
            <w:r>
              <w:rPr>
                <w:rFonts w:cs="AdvP7C2E"/>
              </w:rPr>
              <w:t>Моксифлоксацин</w:t>
            </w:r>
            <w:proofErr w:type="spellEnd"/>
          </w:p>
          <w:p w:rsidR="003613C4" w:rsidRDefault="003613C4" w:rsidP="00086E50">
            <w:pPr>
              <w:autoSpaceDE w:val="0"/>
              <w:autoSpaceDN w:val="0"/>
              <w:adjustRightInd w:val="0"/>
              <w:spacing w:after="200" w:line="276" w:lineRule="auto"/>
              <w:rPr>
                <w:rFonts w:cs="AdvP7C2E"/>
              </w:rPr>
            </w:pPr>
            <w:proofErr w:type="spellStart"/>
            <w:r>
              <w:rPr>
                <w:rFonts w:cs="AdvP7C2E"/>
              </w:rPr>
              <w:t>Левофлоксацин</w:t>
            </w:r>
            <w:proofErr w:type="spellEnd"/>
          </w:p>
        </w:tc>
        <w:tc>
          <w:tcPr>
            <w:tcW w:w="3191" w:type="dxa"/>
          </w:tcPr>
          <w:p w:rsidR="003613C4" w:rsidRDefault="003613C4" w:rsidP="00086E50">
            <w:pPr>
              <w:autoSpaceDE w:val="0"/>
              <w:autoSpaceDN w:val="0"/>
              <w:adjustRightInd w:val="0"/>
              <w:spacing w:after="200" w:line="276" w:lineRule="auto"/>
              <w:rPr>
                <w:rFonts w:cs="AdvP7C2E"/>
              </w:rPr>
            </w:pPr>
            <w:proofErr w:type="spellStart"/>
            <w:r>
              <w:rPr>
                <w:rFonts w:cs="AdvP7C2E"/>
              </w:rPr>
              <w:t>Амоксициллин-клавуланат</w:t>
            </w:r>
            <w:proofErr w:type="spellEnd"/>
          </w:p>
          <w:p w:rsidR="002C08EB" w:rsidRDefault="003613C4" w:rsidP="00086E50">
            <w:pPr>
              <w:autoSpaceDE w:val="0"/>
              <w:autoSpaceDN w:val="0"/>
              <w:adjustRightInd w:val="0"/>
              <w:spacing w:after="200" w:line="276" w:lineRule="auto"/>
              <w:rPr>
                <w:rFonts w:cs="AdvP7C2E"/>
              </w:rPr>
            </w:pPr>
            <w:proofErr w:type="spellStart"/>
            <w:r>
              <w:rPr>
                <w:rFonts w:cs="AdvP7C2E"/>
              </w:rPr>
              <w:t>Цефтриаксон</w:t>
            </w:r>
            <w:proofErr w:type="spellEnd"/>
          </w:p>
          <w:p w:rsidR="003613C4" w:rsidRDefault="003613C4" w:rsidP="00086E50">
            <w:pPr>
              <w:autoSpaceDE w:val="0"/>
              <w:autoSpaceDN w:val="0"/>
              <w:adjustRightInd w:val="0"/>
              <w:spacing w:after="200" w:line="276" w:lineRule="auto"/>
              <w:rPr>
                <w:rFonts w:cs="AdvP7C2E"/>
              </w:rPr>
            </w:pPr>
            <w:proofErr w:type="spellStart"/>
            <w:r>
              <w:rPr>
                <w:rFonts w:cs="AdvP7C2E"/>
              </w:rPr>
              <w:t>Цефотаксим</w:t>
            </w:r>
            <w:proofErr w:type="spellEnd"/>
          </w:p>
          <w:p w:rsidR="003613C4" w:rsidRDefault="003613C4" w:rsidP="00086E50">
            <w:pPr>
              <w:autoSpaceDE w:val="0"/>
              <w:autoSpaceDN w:val="0"/>
              <w:adjustRightInd w:val="0"/>
              <w:spacing w:after="200" w:line="276" w:lineRule="auto"/>
              <w:rPr>
                <w:rFonts w:cs="AdvP7C2E"/>
              </w:rPr>
            </w:pPr>
            <w:proofErr w:type="spellStart"/>
            <w:r>
              <w:rPr>
                <w:rFonts w:cs="AdvP7C2E"/>
              </w:rPr>
              <w:t>Моксифлоксацин</w:t>
            </w:r>
            <w:proofErr w:type="spellEnd"/>
          </w:p>
          <w:p w:rsidR="003613C4" w:rsidRDefault="003613C4" w:rsidP="00086E50">
            <w:pPr>
              <w:autoSpaceDE w:val="0"/>
              <w:autoSpaceDN w:val="0"/>
              <w:adjustRightInd w:val="0"/>
              <w:spacing w:after="200" w:line="276" w:lineRule="auto"/>
              <w:rPr>
                <w:rFonts w:cs="AdvP7C2E"/>
              </w:rPr>
            </w:pPr>
            <w:proofErr w:type="spellStart"/>
            <w:r>
              <w:rPr>
                <w:rFonts w:cs="AdvP7C2E"/>
              </w:rPr>
              <w:t>Левофлоксацин</w:t>
            </w:r>
            <w:proofErr w:type="spellEnd"/>
          </w:p>
        </w:tc>
      </w:tr>
      <w:tr w:rsidR="002C08EB" w:rsidTr="002C08EB">
        <w:tc>
          <w:tcPr>
            <w:tcW w:w="3190" w:type="dxa"/>
          </w:tcPr>
          <w:p w:rsidR="002C08EB" w:rsidRPr="00684792" w:rsidRDefault="003613C4" w:rsidP="00086E50">
            <w:pPr>
              <w:autoSpaceDE w:val="0"/>
              <w:autoSpaceDN w:val="0"/>
              <w:adjustRightInd w:val="0"/>
              <w:spacing w:after="200" w:line="276" w:lineRule="auto"/>
              <w:rPr>
                <w:rFonts w:cs="AdvP7C2E"/>
                <w:b/>
                <w:vertAlign w:val="superscript"/>
              </w:rPr>
            </w:pPr>
            <w:r>
              <w:rPr>
                <w:rFonts w:cs="AdvP7C2E"/>
                <w:b/>
              </w:rPr>
              <w:t xml:space="preserve">Есть риск </w:t>
            </w:r>
            <w:r w:rsidR="00086E50">
              <w:rPr>
                <w:rFonts w:cs="AdvP7C2E"/>
                <w:b/>
              </w:rPr>
              <w:t xml:space="preserve">инфицирования </w:t>
            </w:r>
            <w:proofErr w:type="spellStart"/>
            <w:r w:rsidRPr="002C08EB">
              <w:rPr>
                <w:rFonts w:cs="AdvPECF816"/>
                <w:b/>
              </w:rPr>
              <w:t>Pseudomonas</w:t>
            </w:r>
            <w:proofErr w:type="spellEnd"/>
            <w:r w:rsidRPr="002C08EB">
              <w:rPr>
                <w:rFonts w:cs="AdvPECF816"/>
                <w:b/>
              </w:rPr>
              <w:t xml:space="preserve"> </w:t>
            </w:r>
            <w:r w:rsidRPr="002C08EB">
              <w:rPr>
                <w:rFonts w:cs="AdvPECF815"/>
                <w:b/>
              </w:rPr>
              <w:t>spp.</w:t>
            </w:r>
            <w:r w:rsidR="00684792">
              <w:rPr>
                <w:rFonts w:cs="AdvPECF815"/>
                <w:b/>
                <w:vertAlign w:val="superscript"/>
              </w:rPr>
              <w:t>1</w:t>
            </w:r>
          </w:p>
        </w:tc>
        <w:tc>
          <w:tcPr>
            <w:tcW w:w="3190" w:type="dxa"/>
          </w:tcPr>
          <w:p w:rsidR="002C08EB" w:rsidRDefault="00684792" w:rsidP="00086E50">
            <w:pPr>
              <w:autoSpaceDE w:val="0"/>
              <w:autoSpaceDN w:val="0"/>
              <w:adjustRightInd w:val="0"/>
              <w:spacing w:after="200" w:line="276" w:lineRule="auto"/>
              <w:rPr>
                <w:rFonts w:cs="AdvP7C2E"/>
              </w:rPr>
            </w:pPr>
            <w:proofErr w:type="spellStart"/>
            <w:r>
              <w:rPr>
                <w:rFonts w:cs="AdvP7C2E"/>
              </w:rPr>
              <w:t>Ципрофлоксацин</w:t>
            </w:r>
            <w:proofErr w:type="spellEnd"/>
          </w:p>
        </w:tc>
        <w:tc>
          <w:tcPr>
            <w:tcW w:w="3191" w:type="dxa"/>
          </w:tcPr>
          <w:p w:rsidR="002C08EB" w:rsidRDefault="00684792" w:rsidP="00086E50">
            <w:pPr>
              <w:autoSpaceDE w:val="0"/>
              <w:autoSpaceDN w:val="0"/>
              <w:adjustRightInd w:val="0"/>
              <w:spacing w:after="200" w:line="276" w:lineRule="auto"/>
              <w:rPr>
                <w:rFonts w:cs="AdvP7C2E"/>
              </w:rPr>
            </w:pPr>
            <w:proofErr w:type="spellStart"/>
            <w:r>
              <w:rPr>
                <w:rFonts w:cs="AdvP7C2E"/>
              </w:rPr>
              <w:t>Ципрофлоксацин</w:t>
            </w:r>
            <w:proofErr w:type="spellEnd"/>
            <w:r>
              <w:rPr>
                <w:rFonts w:cs="AdvP7C2E"/>
              </w:rPr>
              <w:t xml:space="preserve"> +антипсевдомонадные</w:t>
            </w:r>
            <w:proofErr w:type="gramStart"/>
            <w:r>
              <w:rPr>
                <w:rFonts w:cs="AdvP7C2E"/>
              </w:rPr>
              <w:t>β-</w:t>
            </w:r>
            <w:proofErr w:type="gramEnd"/>
            <w:r>
              <w:rPr>
                <w:rFonts w:cs="AdvP7C2E"/>
              </w:rPr>
              <w:t>лактамы</w:t>
            </w:r>
            <w:r w:rsidR="0060400B">
              <w:rPr>
                <w:rFonts w:cs="AdvP7C2E"/>
                <w:vertAlign w:val="superscript"/>
              </w:rPr>
              <w:t>2</w:t>
            </w:r>
            <w:r>
              <w:rPr>
                <w:rFonts w:cs="AdvP7C2E"/>
              </w:rPr>
              <w:t xml:space="preserve"> или </w:t>
            </w:r>
            <w:proofErr w:type="spellStart"/>
            <w:r>
              <w:rPr>
                <w:rFonts w:cs="AdvP7C2E"/>
              </w:rPr>
              <w:t>аминогликозиды</w:t>
            </w:r>
            <w:proofErr w:type="spellEnd"/>
          </w:p>
        </w:tc>
      </w:tr>
    </w:tbl>
    <w:p w:rsidR="0060400B" w:rsidRPr="00253024" w:rsidRDefault="00684792" w:rsidP="00086E50">
      <w:pPr>
        <w:rPr>
          <w:rFonts w:cs="AdvP7C2E"/>
        </w:rPr>
      </w:pPr>
      <w:r>
        <w:rPr>
          <w:rFonts w:cs="AdvP7C2E"/>
          <w:vertAlign w:val="superscript"/>
        </w:rPr>
        <w:t>1</w:t>
      </w:r>
      <w:r w:rsidR="0060400B">
        <w:rPr>
          <w:rFonts w:cs="AdvP7C2E"/>
        </w:rPr>
        <w:t xml:space="preserve">: определяется по тем же критериям, что и  для обострения ХОБЛ; </w:t>
      </w:r>
      <w:r w:rsidR="0060400B">
        <w:rPr>
          <w:rFonts w:cs="AdvP7C2E"/>
          <w:vertAlign w:val="superscript"/>
        </w:rPr>
        <w:t>2</w:t>
      </w:r>
      <w:r w:rsidR="0060400B">
        <w:rPr>
          <w:rFonts w:cs="AdvP7C2E"/>
        </w:rPr>
        <w:t xml:space="preserve">: </w:t>
      </w:r>
      <w:proofErr w:type="spellStart"/>
      <w:r w:rsidR="0060400B">
        <w:rPr>
          <w:rFonts w:cs="AdvP7C2E"/>
        </w:rPr>
        <w:t>цетазидим</w:t>
      </w:r>
      <w:proofErr w:type="spellEnd"/>
      <w:r w:rsidR="0060400B">
        <w:rPr>
          <w:rFonts w:cs="AdvP7C2E"/>
        </w:rPr>
        <w:t xml:space="preserve">, </w:t>
      </w:r>
      <w:proofErr w:type="spellStart"/>
      <w:r w:rsidR="0060400B">
        <w:rPr>
          <w:rFonts w:cs="AdvP7C2E"/>
        </w:rPr>
        <w:t>цефепим</w:t>
      </w:r>
      <w:proofErr w:type="spellEnd"/>
      <w:r w:rsidR="0060400B">
        <w:rPr>
          <w:rFonts w:cs="AdvP7C2E"/>
        </w:rPr>
        <w:t xml:space="preserve">, </w:t>
      </w:r>
      <w:proofErr w:type="spellStart"/>
      <w:r w:rsidR="0060400B">
        <w:rPr>
          <w:rFonts w:cs="AdvP7C2E"/>
        </w:rPr>
        <w:t>карбапенемы</w:t>
      </w:r>
      <w:proofErr w:type="spellEnd"/>
      <w:r w:rsidR="0060400B">
        <w:rPr>
          <w:rFonts w:cs="AdvP7C2E"/>
        </w:rPr>
        <w:t xml:space="preserve">, </w:t>
      </w:r>
      <w:proofErr w:type="spellStart"/>
      <w:r w:rsidR="0060400B">
        <w:rPr>
          <w:rFonts w:cs="AdvP7C2E"/>
        </w:rPr>
        <w:t>пиперациллин-тазобактам</w:t>
      </w:r>
      <w:proofErr w:type="spellEnd"/>
      <w:r w:rsidR="0060400B">
        <w:rPr>
          <w:rFonts w:cs="AdvP7C2E"/>
        </w:rPr>
        <w:t>.</w:t>
      </w:r>
      <w:r w:rsidR="0060400B" w:rsidRPr="0060400B">
        <w:rPr>
          <w:rFonts w:cs="AdvPECF811"/>
        </w:rPr>
        <w:t xml:space="preserve"> </w:t>
      </w:r>
      <w:r w:rsidR="0060400B">
        <w:rPr>
          <w:rFonts w:cs="AdvPECF811"/>
        </w:rPr>
        <w:t xml:space="preserve">Рекомендации по дозам смотри в </w:t>
      </w:r>
      <w:r w:rsidR="0060400B" w:rsidRPr="00D127A0">
        <w:rPr>
          <w:rFonts w:cs="AdvPECF811"/>
        </w:rPr>
        <w:t xml:space="preserve">Приложении </w:t>
      </w:r>
      <w:r w:rsidR="0060400B">
        <w:rPr>
          <w:rFonts w:cs="AdvPECF811"/>
        </w:rPr>
        <w:t>3.</w:t>
      </w:r>
    </w:p>
    <w:p w:rsidR="006923DF" w:rsidRDefault="006923DF" w:rsidP="004F26F6">
      <w:pPr>
        <w:autoSpaceDE w:val="0"/>
        <w:autoSpaceDN w:val="0"/>
        <w:adjustRightInd w:val="0"/>
        <w:rPr>
          <w:rFonts w:cs="AdvP7C2E"/>
          <w:b/>
        </w:rPr>
      </w:pPr>
      <w:r>
        <w:rPr>
          <w:rFonts w:cs="AdvP7C2E"/>
          <w:b/>
        </w:rPr>
        <w:t>Профилактика</w:t>
      </w:r>
    </w:p>
    <w:p w:rsidR="00C43610" w:rsidRDefault="00C43610" w:rsidP="004F26F6">
      <w:pPr>
        <w:autoSpaceDE w:val="0"/>
        <w:autoSpaceDN w:val="0"/>
        <w:adjustRightInd w:val="0"/>
        <w:rPr>
          <w:rFonts w:cs="AdvP7C2E"/>
          <w:u w:val="single"/>
        </w:rPr>
      </w:pPr>
      <w:r w:rsidRPr="00AA639D">
        <w:rPr>
          <w:rFonts w:cs="AdvP7C2E"/>
          <w:u w:val="single"/>
        </w:rPr>
        <w:t xml:space="preserve">Способы профилактики </w:t>
      </w:r>
      <w:r w:rsidR="00AA639D">
        <w:rPr>
          <w:rFonts w:cs="AdvP7C2E"/>
          <w:u w:val="single"/>
        </w:rPr>
        <w:t>(за исключением вакцинации)</w:t>
      </w:r>
    </w:p>
    <w:p w:rsidR="00C43610" w:rsidRDefault="00A80B7E" w:rsidP="004F26F6">
      <w:pPr>
        <w:autoSpaceDE w:val="0"/>
        <w:autoSpaceDN w:val="0"/>
        <w:adjustRightInd w:val="0"/>
        <w:rPr>
          <w:rFonts w:cs="AdvP7C34"/>
          <w:i/>
        </w:rPr>
      </w:pPr>
      <w:r>
        <w:rPr>
          <w:rFonts w:cs="AdvP7C34"/>
          <w:i/>
        </w:rPr>
        <w:t>Способствует ли профилактике инфекций нижних дыхательных путей</w:t>
      </w:r>
      <w:r w:rsidR="00B924EE">
        <w:rPr>
          <w:rFonts w:cs="AdvP7C34"/>
          <w:i/>
        </w:rPr>
        <w:t xml:space="preserve"> </w:t>
      </w:r>
      <w:r>
        <w:rPr>
          <w:rFonts w:cs="AdvP7C34"/>
          <w:i/>
        </w:rPr>
        <w:t xml:space="preserve">оральная </w:t>
      </w:r>
      <w:r w:rsidR="00B924EE">
        <w:rPr>
          <w:rFonts w:cs="AdvP7C34"/>
          <w:i/>
        </w:rPr>
        <w:t>иммунизация</w:t>
      </w:r>
      <w:r>
        <w:rPr>
          <w:rFonts w:cs="AdvP7C34"/>
          <w:i/>
        </w:rPr>
        <w:t xml:space="preserve"> с использованием компонентов бактерий?</w:t>
      </w:r>
    </w:p>
    <w:p w:rsidR="00A80B7E" w:rsidRDefault="00A80B7E" w:rsidP="004F26F6">
      <w:pPr>
        <w:autoSpaceDE w:val="0"/>
        <w:autoSpaceDN w:val="0"/>
        <w:adjustRightInd w:val="0"/>
        <w:rPr>
          <w:rFonts w:cs="AdvP7C2E"/>
        </w:rPr>
      </w:pPr>
      <w:r>
        <w:rPr>
          <w:rFonts w:cs="AdvP7C34"/>
        </w:rPr>
        <w:lastRenderedPageBreak/>
        <w:t xml:space="preserve">Использование оральной </w:t>
      </w:r>
      <w:r w:rsidRPr="00A80B7E">
        <w:rPr>
          <w:rFonts w:cs="AdvP7C34"/>
        </w:rPr>
        <w:t xml:space="preserve">вакцины </w:t>
      </w:r>
      <w:proofErr w:type="spellStart"/>
      <w:r w:rsidRPr="00A80B7E">
        <w:rPr>
          <w:rFonts w:cs="AdvP7C34"/>
        </w:rPr>
        <w:t>Haemophilus</w:t>
      </w:r>
      <w:proofErr w:type="spellEnd"/>
      <w:r w:rsidRPr="00A80B7E">
        <w:rPr>
          <w:rFonts w:cs="AdvP7C34"/>
        </w:rPr>
        <w:t xml:space="preserve"> </w:t>
      </w:r>
      <w:proofErr w:type="spellStart"/>
      <w:r w:rsidRPr="00A80B7E">
        <w:rPr>
          <w:rFonts w:cs="AdvP7C34"/>
        </w:rPr>
        <w:t>influenzae</w:t>
      </w:r>
      <w:proofErr w:type="spellEnd"/>
      <w:r w:rsidR="00B924EE">
        <w:rPr>
          <w:rFonts w:cs="AdvP7C34"/>
        </w:rPr>
        <w:t>(В</w:t>
      </w:r>
      <w:proofErr w:type="gramStart"/>
      <w:r w:rsidR="00B924EE">
        <w:rPr>
          <w:rFonts w:cs="AdvP7C34"/>
        </w:rPr>
        <w:t>1</w:t>
      </w:r>
      <w:proofErr w:type="gramEnd"/>
      <w:r w:rsidR="00B924EE">
        <w:rPr>
          <w:rFonts w:cs="AdvP7C34"/>
        </w:rPr>
        <w:t xml:space="preserve">) или компонентов </w:t>
      </w:r>
      <w:r w:rsidR="00B924EE" w:rsidRPr="00B924EE">
        <w:rPr>
          <w:rFonts w:cs="AdvP7C34"/>
        </w:rPr>
        <w:t xml:space="preserve">бактерий </w:t>
      </w:r>
      <w:r w:rsidR="00B924EE">
        <w:rPr>
          <w:rFonts w:cs="AdvP7C2E"/>
        </w:rPr>
        <w:t>(OM-85 BV; B</w:t>
      </w:r>
      <w:r w:rsidR="00B924EE" w:rsidRPr="00B924EE">
        <w:rPr>
          <w:rFonts w:cs="AdvP7C2E"/>
        </w:rPr>
        <w:t>2)</w:t>
      </w:r>
      <w:r w:rsidR="00B924EE">
        <w:rPr>
          <w:rFonts w:cs="AdvP7C2E"/>
        </w:rPr>
        <w:t xml:space="preserve"> у пациентов с хроническим бронхитом (ХБ) или ХОБЛ не рекомендовано.</w:t>
      </w:r>
    </w:p>
    <w:p w:rsidR="00607434" w:rsidRPr="003143AA" w:rsidRDefault="003143AA" w:rsidP="004F26F6">
      <w:pPr>
        <w:autoSpaceDE w:val="0"/>
        <w:autoSpaceDN w:val="0"/>
        <w:adjustRightInd w:val="0"/>
        <w:rPr>
          <w:rFonts w:cs="AdvP7C34"/>
          <w:i/>
        </w:rPr>
      </w:pPr>
      <w:r>
        <w:rPr>
          <w:rFonts w:cs="AdvP7C2E"/>
          <w:i/>
        </w:rPr>
        <w:t xml:space="preserve">Какова роль </w:t>
      </w:r>
      <w:proofErr w:type="gramStart"/>
      <w:r>
        <w:rPr>
          <w:rFonts w:cs="AdvP7C2E"/>
          <w:i/>
        </w:rPr>
        <w:t>профилактической</w:t>
      </w:r>
      <w:proofErr w:type="gramEnd"/>
      <w:r>
        <w:rPr>
          <w:rFonts w:cs="AdvP7C2E"/>
          <w:i/>
        </w:rPr>
        <w:t xml:space="preserve"> </w:t>
      </w:r>
      <w:proofErr w:type="spellStart"/>
      <w:r>
        <w:rPr>
          <w:rFonts w:cs="AdvP7C2E"/>
          <w:i/>
        </w:rPr>
        <w:t>антибиотикотерапии</w:t>
      </w:r>
      <w:proofErr w:type="spellEnd"/>
      <w:r>
        <w:rPr>
          <w:rFonts w:cs="AdvP7C2E"/>
          <w:i/>
        </w:rPr>
        <w:t xml:space="preserve"> у пациентов с ХБ или ХОБЛ?</w:t>
      </w:r>
    </w:p>
    <w:p w:rsidR="003143AA" w:rsidRDefault="003143AA" w:rsidP="004F26F6">
      <w:pPr>
        <w:autoSpaceDE w:val="0"/>
        <w:autoSpaceDN w:val="0"/>
        <w:adjustRightInd w:val="0"/>
        <w:rPr>
          <w:rFonts w:cs="AdvP7C34"/>
        </w:rPr>
      </w:pPr>
      <w:r>
        <w:rPr>
          <w:rFonts w:cs="AdvP7C34"/>
        </w:rPr>
        <w:t>Использование антибиотиков у пациентов с ХБ или ХОБЛ с профилактической целью не рекомендовано (А</w:t>
      </w:r>
      <w:proofErr w:type="gramStart"/>
      <w:r>
        <w:rPr>
          <w:rFonts w:cs="AdvP7C34"/>
        </w:rPr>
        <w:t>1</w:t>
      </w:r>
      <w:proofErr w:type="gramEnd"/>
      <w:r>
        <w:rPr>
          <w:rFonts w:cs="AdvP7C34"/>
        </w:rPr>
        <w:t>).</w:t>
      </w:r>
    </w:p>
    <w:p w:rsidR="0005188A" w:rsidRPr="004F26F6" w:rsidRDefault="0077422D" w:rsidP="004F26F6">
      <w:pPr>
        <w:autoSpaceDE w:val="0"/>
        <w:autoSpaceDN w:val="0"/>
        <w:adjustRightInd w:val="0"/>
        <w:rPr>
          <w:rFonts w:cs="AdvP7C2E"/>
        </w:rPr>
      </w:pPr>
      <w:r>
        <w:rPr>
          <w:rFonts w:cs="AdvP7C34"/>
        </w:rPr>
        <w:t>Согласно мнению специалистов, может быть оправдано длительное использование антибиотиков</w:t>
      </w:r>
      <w:r w:rsidR="003143AA">
        <w:rPr>
          <w:rFonts w:cs="AdvP7C34"/>
        </w:rPr>
        <w:t xml:space="preserve"> </w:t>
      </w:r>
      <w:r>
        <w:rPr>
          <w:rFonts w:cs="AdvP7C34"/>
        </w:rPr>
        <w:t xml:space="preserve">у пациентов с </w:t>
      </w:r>
      <w:proofErr w:type="spellStart"/>
      <w:r>
        <w:rPr>
          <w:rFonts w:cs="AdvP7C34"/>
        </w:rPr>
        <w:t>бронхоэктазами</w:t>
      </w:r>
      <w:proofErr w:type="spellEnd"/>
      <w:r>
        <w:rPr>
          <w:rFonts w:cs="AdvP7C34"/>
        </w:rPr>
        <w:t xml:space="preserve">, страдающих от </w:t>
      </w:r>
      <w:r w:rsidR="004F26F6">
        <w:rPr>
          <w:rFonts w:cs="AdvP7C34"/>
        </w:rPr>
        <w:t>частых бактериальных обострений. Н</w:t>
      </w:r>
      <w:r>
        <w:rPr>
          <w:rFonts w:cs="AdvP7C34"/>
        </w:rPr>
        <w:t>о</w:t>
      </w:r>
      <w:r w:rsidR="008037C8" w:rsidRPr="004F26F6">
        <w:rPr>
          <w:rFonts w:cs="AdvP7C34"/>
        </w:rPr>
        <w:t xml:space="preserve"> </w:t>
      </w:r>
      <w:r w:rsidR="004F26F6">
        <w:rPr>
          <w:rFonts w:cs="AdvP7C34"/>
        </w:rPr>
        <w:t>отсутствие</w:t>
      </w:r>
      <w:r w:rsidR="004F26F6" w:rsidRPr="004F26F6">
        <w:rPr>
          <w:rFonts w:cs="AdvP7C34"/>
        </w:rPr>
        <w:t xml:space="preserve"> </w:t>
      </w:r>
      <w:r w:rsidR="004F26F6">
        <w:rPr>
          <w:rFonts w:cs="AdvP7C34"/>
        </w:rPr>
        <w:t>данных</w:t>
      </w:r>
      <w:r w:rsidR="004F26F6" w:rsidRPr="004F26F6">
        <w:rPr>
          <w:rFonts w:cs="AdvP7C34"/>
        </w:rPr>
        <w:t xml:space="preserve"> </w:t>
      </w:r>
      <w:r w:rsidR="004F26F6">
        <w:rPr>
          <w:rFonts w:cs="AdvP7C34"/>
        </w:rPr>
        <w:t>контролируемых</w:t>
      </w:r>
      <w:r w:rsidR="004F26F6" w:rsidRPr="004F26F6">
        <w:rPr>
          <w:rFonts w:cs="AdvP7C34"/>
        </w:rPr>
        <w:t xml:space="preserve"> </w:t>
      </w:r>
      <w:r w:rsidR="004F26F6">
        <w:rPr>
          <w:rFonts w:cs="AdvP7C34"/>
        </w:rPr>
        <w:t>исследований по этому вопросу не позволяет сформулировать обоснованные рекомендации (С</w:t>
      </w:r>
      <w:proofErr w:type="gramStart"/>
      <w:r w:rsidR="004F26F6">
        <w:rPr>
          <w:rFonts w:cs="AdvP7C34"/>
        </w:rPr>
        <w:t>4</w:t>
      </w:r>
      <w:proofErr w:type="gramEnd"/>
      <w:r w:rsidR="004F26F6">
        <w:rPr>
          <w:rFonts w:cs="AdvP7C34"/>
        </w:rPr>
        <w:t>).</w:t>
      </w:r>
    </w:p>
    <w:p w:rsidR="008037C8" w:rsidRDefault="009E7591" w:rsidP="004F26F6">
      <w:pPr>
        <w:autoSpaceDE w:val="0"/>
        <w:autoSpaceDN w:val="0"/>
        <w:adjustRightInd w:val="0"/>
        <w:rPr>
          <w:rFonts w:cs="AdvP7C2E"/>
        </w:rPr>
      </w:pPr>
      <w:r>
        <w:rPr>
          <w:rFonts w:cs="AdvP7C2E"/>
        </w:rPr>
        <w:t xml:space="preserve">Использование антибиотиков с применением </w:t>
      </w:r>
      <w:proofErr w:type="spellStart"/>
      <w:r>
        <w:rPr>
          <w:rFonts w:cs="AdvP7C2E"/>
        </w:rPr>
        <w:t>небулайзера</w:t>
      </w:r>
      <w:proofErr w:type="spellEnd"/>
      <w:r>
        <w:rPr>
          <w:rFonts w:cs="AdvP7C2E"/>
        </w:rPr>
        <w:t xml:space="preserve"> для профилактики ИНДП у пациентов с </w:t>
      </w:r>
      <w:proofErr w:type="spellStart"/>
      <w:r>
        <w:rPr>
          <w:rFonts w:cs="AdvP7C2E"/>
        </w:rPr>
        <w:t>бронхоэктазами</w:t>
      </w:r>
      <w:proofErr w:type="spellEnd"/>
      <w:r>
        <w:rPr>
          <w:rFonts w:cs="AdvP7C2E"/>
        </w:rPr>
        <w:t xml:space="preserve"> не было хорошо изучено. Тем не менее, применение </w:t>
      </w:r>
      <w:proofErr w:type="spellStart"/>
      <w:r>
        <w:rPr>
          <w:rFonts w:cs="AdvP7C2E"/>
        </w:rPr>
        <w:t>небулайзера</w:t>
      </w:r>
      <w:proofErr w:type="spellEnd"/>
      <w:r>
        <w:rPr>
          <w:rFonts w:cs="AdvP7C2E"/>
        </w:rPr>
        <w:t xml:space="preserve"> не рекомендовано в связи с отсутствием  доказательств эффективности его применения</w:t>
      </w:r>
      <w:r w:rsidR="002B2B31">
        <w:rPr>
          <w:rFonts w:cs="AdvP7C2E"/>
        </w:rPr>
        <w:t xml:space="preserve"> (С</w:t>
      </w:r>
      <w:proofErr w:type="gramStart"/>
      <w:r w:rsidR="002B2B31">
        <w:rPr>
          <w:rFonts w:cs="AdvP7C2E"/>
        </w:rPr>
        <w:t>4</w:t>
      </w:r>
      <w:proofErr w:type="gramEnd"/>
      <w:r w:rsidR="00D57511">
        <w:rPr>
          <w:rFonts w:cs="AdvP7C2E"/>
        </w:rPr>
        <w:t>)</w:t>
      </w:r>
      <w:r>
        <w:rPr>
          <w:rFonts w:cs="AdvP7C2E"/>
        </w:rPr>
        <w:t>.</w:t>
      </w:r>
    </w:p>
    <w:p w:rsidR="00FC56C8" w:rsidRDefault="00FC56C8" w:rsidP="004F26F6">
      <w:pPr>
        <w:autoSpaceDE w:val="0"/>
        <w:autoSpaceDN w:val="0"/>
        <w:adjustRightInd w:val="0"/>
        <w:rPr>
          <w:rFonts w:cs="AdvP7C2E"/>
          <w:i/>
        </w:rPr>
      </w:pPr>
      <w:r>
        <w:rPr>
          <w:rFonts w:cs="AdvP7C2E"/>
          <w:i/>
        </w:rPr>
        <w:t>Предотвращает ли применение антибиотиков при лечении инфекций верхних дыхательных путей развитие ИНДП?</w:t>
      </w:r>
    </w:p>
    <w:p w:rsidR="00FC56C8" w:rsidRDefault="00FC56C8" w:rsidP="004F26F6">
      <w:pPr>
        <w:autoSpaceDE w:val="0"/>
        <w:autoSpaceDN w:val="0"/>
        <w:adjustRightInd w:val="0"/>
        <w:rPr>
          <w:rFonts w:cs="AdvP7C2E"/>
        </w:rPr>
      </w:pPr>
      <w:r w:rsidRPr="00FC56C8">
        <w:rPr>
          <w:rFonts w:cs="AdvP7C2E"/>
        </w:rPr>
        <w:t xml:space="preserve">Применение антибиотиков при лечении инфекций верхних дыхательных путей </w:t>
      </w:r>
      <w:r>
        <w:rPr>
          <w:rFonts w:cs="AdvP7C2E"/>
        </w:rPr>
        <w:t>не предотвращает развитие ИНДП (А</w:t>
      </w:r>
      <w:proofErr w:type="gramStart"/>
      <w:r>
        <w:rPr>
          <w:rFonts w:cs="AdvP7C2E"/>
        </w:rPr>
        <w:t>1</w:t>
      </w:r>
      <w:proofErr w:type="gramEnd"/>
      <w:r>
        <w:rPr>
          <w:rFonts w:cs="AdvP7C2E"/>
        </w:rPr>
        <w:t>).</w:t>
      </w:r>
    </w:p>
    <w:p w:rsidR="005E20EC" w:rsidRPr="005E20EC" w:rsidRDefault="005E20EC" w:rsidP="004F26F6">
      <w:pPr>
        <w:autoSpaceDE w:val="0"/>
        <w:autoSpaceDN w:val="0"/>
        <w:adjustRightInd w:val="0"/>
        <w:rPr>
          <w:rFonts w:cs="AdvP7C2E"/>
          <w:i/>
        </w:rPr>
      </w:pPr>
      <w:r>
        <w:rPr>
          <w:rFonts w:cs="AdvP7C2E"/>
          <w:i/>
        </w:rPr>
        <w:t>Предотвращает ли применение ингаляционных стероидов и β</w:t>
      </w:r>
      <w:r>
        <w:rPr>
          <w:rFonts w:cs="AdvP7C2E"/>
          <w:i/>
          <w:vertAlign w:val="subscript"/>
        </w:rPr>
        <w:t>2</w:t>
      </w:r>
      <w:r>
        <w:rPr>
          <w:rFonts w:cs="AdvP7C2E"/>
          <w:i/>
        </w:rPr>
        <w:t>-агонистов длительного действия</w:t>
      </w:r>
      <w:r w:rsidR="00882C68">
        <w:rPr>
          <w:rFonts w:cs="AdvP7C2E"/>
          <w:i/>
        </w:rPr>
        <w:t xml:space="preserve"> развитие ИНДП?</w:t>
      </w:r>
      <w:r>
        <w:rPr>
          <w:rFonts w:cs="AdvP7C2E"/>
          <w:i/>
        </w:rPr>
        <w:t xml:space="preserve"> </w:t>
      </w:r>
    </w:p>
    <w:p w:rsidR="0005188A" w:rsidRDefault="00882C68" w:rsidP="004F26F6">
      <w:pPr>
        <w:autoSpaceDE w:val="0"/>
        <w:autoSpaceDN w:val="0"/>
        <w:adjustRightInd w:val="0"/>
        <w:rPr>
          <w:rFonts w:cs="AdvP7C2E"/>
        </w:rPr>
      </w:pPr>
      <w:r w:rsidRPr="00882C68">
        <w:rPr>
          <w:rFonts w:cs="AdvP7C2E"/>
        </w:rPr>
        <w:t>Регулярное использование ингаляционных стероидов</w:t>
      </w:r>
      <w:r>
        <w:rPr>
          <w:rFonts w:cs="AdvP7C2E"/>
        </w:rPr>
        <w:t xml:space="preserve"> (В</w:t>
      </w:r>
      <w:proofErr w:type="gramStart"/>
      <w:r>
        <w:rPr>
          <w:rFonts w:cs="AdvP7C2E"/>
        </w:rPr>
        <w:t>1</w:t>
      </w:r>
      <w:proofErr w:type="gramEnd"/>
      <w:r>
        <w:rPr>
          <w:rFonts w:cs="AdvP7C2E"/>
        </w:rPr>
        <w:t>)</w:t>
      </w:r>
      <w:r w:rsidRPr="00882C68">
        <w:rPr>
          <w:rFonts w:cs="AdvP7C2E"/>
        </w:rPr>
        <w:t xml:space="preserve"> и β</w:t>
      </w:r>
      <w:r w:rsidRPr="00882C68">
        <w:rPr>
          <w:rFonts w:cs="AdvP7C2E"/>
          <w:vertAlign w:val="subscript"/>
        </w:rPr>
        <w:t>2</w:t>
      </w:r>
      <w:r w:rsidRPr="00882C68">
        <w:rPr>
          <w:rFonts w:cs="AdvP7C2E"/>
        </w:rPr>
        <w:t>-агонистов длительного действия</w:t>
      </w:r>
      <w:r>
        <w:rPr>
          <w:rFonts w:cs="AdvP7C2E"/>
        </w:rPr>
        <w:t xml:space="preserve"> (С4) для профилактики ИНДП не рекомендовано. Это не означает, что вышеуказанные препараты не предотвращают развитие обострения  ХОБЛ</w:t>
      </w:r>
      <w:r w:rsidR="002403BF">
        <w:rPr>
          <w:rFonts w:cs="AdvP7C2E"/>
        </w:rPr>
        <w:t>.</w:t>
      </w:r>
    </w:p>
    <w:p w:rsidR="00882C68" w:rsidRDefault="0009552B" w:rsidP="004F26F6">
      <w:pPr>
        <w:autoSpaceDE w:val="0"/>
        <w:autoSpaceDN w:val="0"/>
        <w:adjustRightInd w:val="0"/>
        <w:rPr>
          <w:rFonts w:cs="AdvP7C2E"/>
          <w:i/>
        </w:rPr>
      </w:pPr>
      <w:r>
        <w:rPr>
          <w:rFonts w:cs="AdvP7C2E"/>
          <w:i/>
        </w:rPr>
        <w:t>Способствует ли регулярная физиотерапия профилактике ИНДП?</w:t>
      </w:r>
    </w:p>
    <w:p w:rsidR="0009552B" w:rsidRDefault="0009552B" w:rsidP="004F26F6">
      <w:pPr>
        <w:autoSpaceDE w:val="0"/>
        <w:autoSpaceDN w:val="0"/>
        <w:adjustRightInd w:val="0"/>
        <w:rPr>
          <w:rFonts w:cs="AdvP7C2E"/>
        </w:rPr>
      </w:pPr>
      <w:r>
        <w:rPr>
          <w:rFonts w:cs="AdvP7C2E"/>
        </w:rPr>
        <w:t>Не рекомендовано проведение физиотерапии с целью профилактики ИНДП (С</w:t>
      </w:r>
      <w:proofErr w:type="gramStart"/>
      <w:r>
        <w:rPr>
          <w:rFonts w:cs="AdvP7C2E"/>
        </w:rPr>
        <w:t>4</w:t>
      </w:r>
      <w:proofErr w:type="gramEnd"/>
      <w:r>
        <w:rPr>
          <w:rFonts w:cs="AdvP7C2E"/>
        </w:rPr>
        <w:t>).</w:t>
      </w:r>
    </w:p>
    <w:p w:rsidR="00E3770E" w:rsidRDefault="005B6F93" w:rsidP="004F26F6">
      <w:pPr>
        <w:autoSpaceDE w:val="0"/>
        <w:autoSpaceDN w:val="0"/>
        <w:adjustRightInd w:val="0"/>
        <w:rPr>
          <w:rFonts w:cs="AdvP7C2E"/>
          <w:i/>
        </w:rPr>
      </w:pPr>
      <w:r>
        <w:rPr>
          <w:rFonts w:cs="AdvP7C2E"/>
          <w:i/>
        </w:rPr>
        <w:t>Предотвращает ли противовирусная иммунизация развитие гриппа?</w:t>
      </w:r>
    </w:p>
    <w:p w:rsidR="005B6F93" w:rsidRDefault="005B6F93" w:rsidP="004F26F6">
      <w:pPr>
        <w:autoSpaceDE w:val="0"/>
        <w:autoSpaceDN w:val="0"/>
        <w:adjustRightInd w:val="0"/>
        <w:rPr>
          <w:rFonts w:cs="AdvP7C2E"/>
        </w:rPr>
      </w:pPr>
      <w:r>
        <w:rPr>
          <w:rFonts w:cs="AdvP7C2E"/>
        </w:rPr>
        <w:t>Применение противовирусной иммунизации для профилактика гриппа рекомендовано только в определённых случаях (например при вспышке заболевания в закрытом коллективе; А</w:t>
      </w:r>
      <w:proofErr w:type="gramStart"/>
      <w:r>
        <w:rPr>
          <w:rFonts w:cs="AdvP7C2E"/>
        </w:rPr>
        <w:t>1</w:t>
      </w:r>
      <w:proofErr w:type="gramEnd"/>
      <w:r>
        <w:rPr>
          <w:rFonts w:cs="AdvP7C2E"/>
        </w:rPr>
        <w:t>).</w:t>
      </w:r>
    </w:p>
    <w:p w:rsidR="005B6F93" w:rsidRDefault="00D23199" w:rsidP="004F26F6">
      <w:pPr>
        <w:autoSpaceDE w:val="0"/>
        <w:autoSpaceDN w:val="0"/>
        <w:adjustRightInd w:val="0"/>
        <w:rPr>
          <w:rFonts w:cs="AdvP7C2E"/>
          <w:i/>
        </w:rPr>
      </w:pPr>
      <w:r>
        <w:rPr>
          <w:rFonts w:cs="AdvP7C2E"/>
          <w:i/>
        </w:rPr>
        <w:t xml:space="preserve">Рекомендовано ли применение </w:t>
      </w:r>
      <w:proofErr w:type="gramStart"/>
      <w:r>
        <w:rPr>
          <w:rFonts w:cs="AdvP7C2E"/>
          <w:i/>
        </w:rPr>
        <w:t>оральных</w:t>
      </w:r>
      <w:proofErr w:type="gramEnd"/>
      <w:r>
        <w:rPr>
          <w:rFonts w:cs="AdvP7C2E"/>
          <w:i/>
        </w:rPr>
        <w:t xml:space="preserve"> </w:t>
      </w:r>
      <w:proofErr w:type="spellStart"/>
      <w:r>
        <w:rPr>
          <w:rFonts w:cs="AdvP7C2E"/>
          <w:i/>
        </w:rPr>
        <w:t>муколитиков</w:t>
      </w:r>
      <w:proofErr w:type="spellEnd"/>
      <w:r>
        <w:rPr>
          <w:rFonts w:cs="AdvP7C2E"/>
          <w:i/>
        </w:rPr>
        <w:t xml:space="preserve"> для профилактики ИНДП?</w:t>
      </w:r>
    </w:p>
    <w:p w:rsidR="00D23199" w:rsidRDefault="00D23199" w:rsidP="004F26F6">
      <w:pPr>
        <w:autoSpaceDE w:val="0"/>
        <w:autoSpaceDN w:val="0"/>
        <w:adjustRightInd w:val="0"/>
        <w:rPr>
          <w:rFonts w:cs="AdvP7C2E"/>
        </w:rPr>
      </w:pPr>
      <w:r>
        <w:rPr>
          <w:rFonts w:cs="AdvP7C2E"/>
        </w:rPr>
        <w:t xml:space="preserve">Регулярное </w:t>
      </w:r>
      <w:r w:rsidRPr="00D23199">
        <w:rPr>
          <w:rFonts w:cs="AdvP7C2E"/>
        </w:rPr>
        <w:t xml:space="preserve">применение оральных </w:t>
      </w:r>
      <w:proofErr w:type="spellStart"/>
      <w:r w:rsidRPr="00D23199">
        <w:rPr>
          <w:rFonts w:cs="AdvP7C2E"/>
        </w:rPr>
        <w:t>муколитиков</w:t>
      </w:r>
      <w:proofErr w:type="spellEnd"/>
      <w:r>
        <w:rPr>
          <w:rFonts w:cs="AdvP7C2E"/>
        </w:rPr>
        <w:t xml:space="preserve"> у пациентов с ХБ или ХОБЛ в качестве профилактики ИНДП не рекомендовано (В</w:t>
      </w:r>
      <w:proofErr w:type="gramStart"/>
      <w:r>
        <w:rPr>
          <w:rFonts w:cs="AdvP7C2E"/>
        </w:rPr>
        <w:t>1</w:t>
      </w:r>
      <w:proofErr w:type="gramEnd"/>
      <w:r>
        <w:rPr>
          <w:rFonts w:cs="AdvP7C2E"/>
        </w:rPr>
        <w:t>).</w:t>
      </w:r>
      <w:r w:rsidRPr="00D23199">
        <w:rPr>
          <w:rFonts w:cs="AdvP7C2E"/>
        </w:rPr>
        <w:t xml:space="preserve"> </w:t>
      </w:r>
      <w:r>
        <w:rPr>
          <w:rFonts w:cs="AdvP7C2E"/>
        </w:rPr>
        <w:t xml:space="preserve">Регулярное </w:t>
      </w:r>
      <w:r w:rsidRPr="00D23199">
        <w:rPr>
          <w:rFonts w:cs="AdvP7C2E"/>
        </w:rPr>
        <w:t xml:space="preserve">применение оральных </w:t>
      </w:r>
      <w:proofErr w:type="spellStart"/>
      <w:r w:rsidRPr="00D23199">
        <w:rPr>
          <w:rFonts w:cs="AdvP7C2E"/>
        </w:rPr>
        <w:t>муколитиков</w:t>
      </w:r>
      <w:proofErr w:type="spellEnd"/>
      <w:r>
        <w:rPr>
          <w:rFonts w:cs="AdvP7C2E"/>
        </w:rPr>
        <w:t xml:space="preserve"> у пациентов с </w:t>
      </w:r>
      <w:proofErr w:type="spellStart"/>
      <w:r>
        <w:rPr>
          <w:rFonts w:cs="AdvP7C2E"/>
        </w:rPr>
        <w:t>бронхоэктазами</w:t>
      </w:r>
      <w:proofErr w:type="spellEnd"/>
      <w:r>
        <w:rPr>
          <w:rFonts w:cs="AdvP7C2E"/>
        </w:rPr>
        <w:t xml:space="preserve"> в качестве профилактики ИНДП также не рекомендовано (В</w:t>
      </w:r>
      <w:proofErr w:type="gramStart"/>
      <w:r>
        <w:rPr>
          <w:rFonts w:cs="AdvP7C2E"/>
        </w:rPr>
        <w:t>1</w:t>
      </w:r>
      <w:proofErr w:type="gramEnd"/>
      <w:r>
        <w:rPr>
          <w:rFonts w:cs="AdvP7C2E"/>
        </w:rPr>
        <w:t>).</w:t>
      </w:r>
    </w:p>
    <w:p w:rsidR="00D070AC" w:rsidRDefault="00D070AC" w:rsidP="004F26F6">
      <w:pPr>
        <w:autoSpaceDE w:val="0"/>
        <w:autoSpaceDN w:val="0"/>
        <w:adjustRightInd w:val="0"/>
        <w:rPr>
          <w:rFonts w:cs="AdvP7C2E"/>
          <w:i/>
        </w:rPr>
      </w:pPr>
      <w:r>
        <w:rPr>
          <w:rFonts w:cs="AdvP7C2E"/>
          <w:i/>
        </w:rPr>
        <w:t>Существуют ли доказательства эффективности гомеопатических препаратов в профилактике ИНДП</w:t>
      </w:r>
      <w:r w:rsidR="0041499A">
        <w:rPr>
          <w:rFonts w:cs="AdvP7C2E"/>
          <w:i/>
        </w:rPr>
        <w:t>?</w:t>
      </w:r>
    </w:p>
    <w:p w:rsidR="0041499A" w:rsidRDefault="0041499A" w:rsidP="004F26F6">
      <w:pPr>
        <w:autoSpaceDE w:val="0"/>
        <w:autoSpaceDN w:val="0"/>
        <w:adjustRightInd w:val="0"/>
        <w:rPr>
          <w:rFonts w:cs="AdvP7C2E"/>
        </w:rPr>
      </w:pPr>
      <w:r>
        <w:rPr>
          <w:rFonts w:cs="AdvP7C2E"/>
        </w:rPr>
        <w:t>Применение гомеопатических препаратов для профилактики ИНДП не рекомендовано (С</w:t>
      </w:r>
      <w:proofErr w:type="gramStart"/>
      <w:r>
        <w:rPr>
          <w:rFonts w:cs="AdvP7C2E"/>
        </w:rPr>
        <w:t>4</w:t>
      </w:r>
      <w:proofErr w:type="gramEnd"/>
      <w:r>
        <w:rPr>
          <w:rFonts w:cs="AdvP7C2E"/>
        </w:rPr>
        <w:t>).</w:t>
      </w:r>
    </w:p>
    <w:p w:rsidR="00D05E8F" w:rsidRDefault="00D05E8F" w:rsidP="004F26F6">
      <w:pPr>
        <w:autoSpaceDE w:val="0"/>
        <w:autoSpaceDN w:val="0"/>
        <w:adjustRightInd w:val="0"/>
        <w:rPr>
          <w:rFonts w:cs="AdvP7C2E"/>
          <w:u w:val="single"/>
        </w:rPr>
      </w:pPr>
      <w:r>
        <w:rPr>
          <w:rFonts w:cs="AdvP7C2E"/>
          <w:u w:val="single"/>
        </w:rPr>
        <w:t>Профилактика путём вакцинации</w:t>
      </w:r>
    </w:p>
    <w:p w:rsidR="00D05E8F" w:rsidRDefault="00D05E8F" w:rsidP="004F26F6">
      <w:pPr>
        <w:autoSpaceDE w:val="0"/>
        <w:autoSpaceDN w:val="0"/>
        <w:adjustRightInd w:val="0"/>
        <w:rPr>
          <w:rFonts w:cs="AdvP7C2E"/>
          <w:i/>
        </w:rPr>
      </w:pPr>
      <w:r>
        <w:rPr>
          <w:rFonts w:cs="AdvP7C2E"/>
          <w:i/>
        </w:rPr>
        <w:t>Следует ли применять вакцинацию против гриппа с целью профилактики ИНДП?</w:t>
      </w:r>
    </w:p>
    <w:p w:rsidR="00D05E8F" w:rsidRDefault="00D05E8F" w:rsidP="004F26F6">
      <w:pPr>
        <w:autoSpaceDE w:val="0"/>
        <w:autoSpaceDN w:val="0"/>
        <w:adjustRightInd w:val="0"/>
        <w:rPr>
          <w:rFonts w:cs="AdvP7C34"/>
        </w:rPr>
      </w:pPr>
      <w:r>
        <w:rPr>
          <w:rFonts w:cs="AdvP7C34"/>
        </w:rPr>
        <w:lastRenderedPageBreak/>
        <w:t>Существуют следующие рекомендации к вакцинации против вируса гриппа. 1)Противогриппозная вакцинация должна проводиться ежегодно пациентам с повышенным риском развития осложнений (А</w:t>
      </w:r>
      <w:proofErr w:type="gramStart"/>
      <w:r>
        <w:rPr>
          <w:rFonts w:cs="AdvP7C34"/>
        </w:rPr>
        <w:t>1</w:t>
      </w:r>
      <w:proofErr w:type="gramEnd"/>
      <w:r>
        <w:rPr>
          <w:rFonts w:cs="AdvP7C34"/>
        </w:rPr>
        <w:t xml:space="preserve">). Рекомендовано проведение вакцинации </w:t>
      </w:r>
      <w:proofErr w:type="spellStart"/>
      <w:r w:rsidRPr="00AA639D">
        <w:rPr>
          <w:rFonts w:cs="AdvP7C34"/>
        </w:rPr>
        <w:t>имммунокомпетентным</w:t>
      </w:r>
      <w:proofErr w:type="spellEnd"/>
      <w:r>
        <w:rPr>
          <w:rFonts w:cs="AdvP7C34"/>
        </w:rPr>
        <w:t xml:space="preserve"> взрослым, принадлежащим к следующим группам: возраст ≥65 лет</w:t>
      </w:r>
      <w:r w:rsidRPr="00AA639D">
        <w:rPr>
          <w:rFonts w:cs="AdvP7C34"/>
        </w:rPr>
        <w:t xml:space="preserve">; </w:t>
      </w:r>
      <w:r w:rsidR="00311851" w:rsidRPr="00AA639D">
        <w:rPr>
          <w:rFonts w:cs="AdvP7C34"/>
        </w:rPr>
        <w:t>работа в закрытом коллективе</w:t>
      </w:r>
      <w:r w:rsidR="00311851">
        <w:rPr>
          <w:rFonts w:cs="AdvP7C34"/>
        </w:rPr>
        <w:t xml:space="preserve">; хронические заболевания сердца; хронические заболевания лёгких; сахарный диабет; хронические заболевания почек; </w:t>
      </w:r>
      <w:proofErr w:type="spellStart"/>
      <w:r w:rsidR="00311851">
        <w:rPr>
          <w:rFonts w:cs="AdvP7C34"/>
        </w:rPr>
        <w:t>гемоглобинопатии</w:t>
      </w:r>
      <w:proofErr w:type="spellEnd"/>
      <w:r w:rsidR="00311851">
        <w:rPr>
          <w:rFonts w:cs="AdvP7C34"/>
        </w:rPr>
        <w:t xml:space="preserve">; и беременные женщины, второй и третий триместр беременности которых приходится </w:t>
      </w:r>
      <w:r w:rsidR="00311851" w:rsidRPr="00AA639D">
        <w:rPr>
          <w:rFonts w:cs="AdvP7C34"/>
        </w:rPr>
        <w:t>на сезон гриппа</w:t>
      </w:r>
      <w:r w:rsidR="00311851">
        <w:rPr>
          <w:rFonts w:cs="AdvP7C34"/>
        </w:rPr>
        <w:t>.</w:t>
      </w:r>
      <w:r w:rsidR="000240A7">
        <w:rPr>
          <w:rFonts w:cs="AdvP7C34"/>
        </w:rPr>
        <w:t xml:space="preserve"> 2) Повторные вакцинации безопасны и  позволяют избежать снижения уровня иммунного ответа (В1). 3)У взрослых предпочтительно применение инактивированной вакцины по сравнению с живой </w:t>
      </w:r>
      <w:proofErr w:type="spellStart"/>
      <w:r w:rsidR="000240A7">
        <w:rPr>
          <w:rFonts w:cs="AdvP7C34"/>
        </w:rPr>
        <w:t>аттенуированной</w:t>
      </w:r>
      <w:proofErr w:type="spellEnd"/>
      <w:r w:rsidR="000240A7">
        <w:rPr>
          <w:rFonts w:cs="AdvP7C34"/>
        </w:rPr>
        <w:t xml:space="preserve"> (А1). 4)</w:t>
      </w:r>
      <w:r w:rsidR="009F620B">
        <w:rPr>
          <w:rFonts w:cs="AdvP7C34"/>
        </w:rPr>
        <w:t xml:space="preserve"> Рекомендовано проведение ежегодной вакцинации медицинскому персоналу, особенно работающим в </w:t>
      </w:r>
      <w:r w:rsidR="009F620B" w:rsidRPr="00AA639D">
        <w:rPr>
          <w:rFonts w:cs="AdvP7C34"/>
        </w:rPr>
        <w:t>отделениях с высоким риском</w:t>
      </w:r>
      <w:r w:rsidR="009F620B">
        <w:rPr>
          <w:rFonts w:cs="AdvP7C34"/>
        </w:rPr>
        <w:t xml:space="preserve"> </w:t>
      </w:r>
      <w:r w:rsidR="002403BF">
        <w:rPr>
          <w:rFonts w:cs="AdvP7C34"/>
        </w:rPr>
        <w:t>инфицировани</w:t>
      </w:r>
      <w:proofErr w:type="gramStart"/>
      <w:r w:rsidR="002403BF">
        <w:rPr>
          <w:rFonts w:cs="AdvP7C34"/>
        </w:rPr>
        <w:t>я</w:t>
      </w:r>
      <w:r w:rsidR="009F620B">
        <w:rPr>
          <w:rFonts w:cs="AdvP7C34"/>
        </w:rPr>
        <w:t>(</w:t>
      </w:r>
      <w:proofErr w:type="gramEnd"/>
      <w:r w:rsidR="009F620B">
        <w:rPr>
          <w:rFonts w:cs="AdvP7C34"/>
        </w:rPr>
        <w:t xml:space="preserve">В2). </w:t>
      </w:r>
    </w:p>
    <w:p w:rsidR="009F620B" w:rsidRDefault="009F620B" w:rsidP="004F26F6">
      <w:pPr>
        <w:autoSpaceDE w:val="0"/>
        <w:autoSpaceDN w:val="0"/>
        <w:adjustRightInd w:val="0"/>
        <w:rPr>
          <w:rFonts w:cs="AdvP7C34"/>
          <w:i/>
        </w:rPr>
      </w:pPr>
      <w:r>
        <w:rPr>
          <w:rFonts w:cs="AdvP7C34"/>
          <w:i/>
        </w:rPr>
        <w:t>Следует ли применять пневмококковую вакцину для профилактики ИНДП?</w:t>
      </w:r>
    </w:p>
    <w:p w:rsidR="009F620B" w:rsidRDefault="009F620B" w:rsidP="004F26F6">
      <w:pPr>
        <w:autoSpaceDE w:val="0"/>
        <w:autoSpaceDN w:val="0"/>
        <w:adjustRightInd w:val="0"/>
        <w:rPr>
          <w:rFonts w:cs="AdvP7C34"/>
        </w:rPr>
      </w:pPr>
      <w:r>
        <w:rPr>
          <w:rFonts w:cs="AdvP7C34"/>
        </w:rPr>
        <w:t xml:space="preserve">Для вакцинации против пневмококка существуют следующие рекомендации. 1) Доказательства эффективности 23-компанентной полисахаридной пневмококковой вакцины не столь убедительны, как для </w:t>
      </w:r>
      <w:r w:rsidR="0039546F">
        <w:rPr>
          <w:rFonts w:cs="AdvP7C34"/>
        </w:rPr>
        <w:t>гриппозной вакцины, но её применение рекомендовано всем взрослым, имеющим факторы риска развития пневмококковой инфекции (В</w:t>
      </w:r>
      <w:proofErr w:type="gramStart"/>
      <w:r w:rsidR="0039546F">
        <w:rPr>
          <w:rFonts w:cs="AdvP7C34"/>
        </w:rPr>
        <w:t>4</w:t>
      </w:r>
      <w:proofErr w:type="gramEnd"/>
      <w:r w:rsidR="0039546F">
        <w:rPr>
          <w:rFonts w:cs="AdvP7C34"/>
        </w:rPr>
        <w:t xml:space="preserve">). 2) Факторы риска развития пневмококковой инфекции следующие: возраст ≥65 лет; </w:t>
      </w:r>
      <w:r w:rsidR="0039546F" w:rsidRPr="00F538DC">
        <w:rPr>
          <w:rFonts w:cs="AdvP7C34"/>
        </w:rPr>
        <w:t>работа в закрытом коллективе</w:t>
      </w:r>
      <w:r w:rsidR="0039546F">
        <w:rPr>
          <w:rFonts w:cs="AdvP7C34"/>
        </w:rPr>
        <w:t>; деменция; эпилепсия; застойная сердечная недостаточность; цереброваскулярные заболевания; ХОБЛ; пневмония в анамнезе; хроническое заболевание печени; сахарный диабет; функциональная или анатом</w:t>
      </w:r>
      <w:r w:rsidR="00F538DC">
        <w:rPr>
          <w:rFonts w:cs="AdvP7C34"/>
        </w:rPr>
        <w:t xml:space="preserve">ическая </w:t>
      </w:r>
      <w:proofErr w:type="spellStart"/>
      <w:r w:rsidR="00F538DC">
        <w:rPr>
          <w:rFonts w:cs="AdvP7C34"/>
        </w:rPr>
        <w:t>аспления</w:t>
      </w:r>
      <w:proofErr w:type="spellEnd"/>
      <w:r w:rsidR="00F538DC">
        <w:rPr>
          <w:rFonts w:cs="AdvP7C34"/>
        </w:rPr>
        <w:t xml:space="preserve">; и хроническая </w:t>
      </w:r>
      <w:proofErr w:type="spellStart"/>
      <w:r w:rsidR="00F538DC">
        <w:rPr>
          <w:rFonts w:cs="AdvP7C34"/>
        </w:rPr>
        <w:t>ликворея</w:t>
      </w:r>
      <w:proofErr w:type="spellEnd"/>
      <w:r w:rsidR="00F538DC">
        <w:rPr>
          <w:rFonts w:cs="AdvP7C34"/>
        </w:rPr>
        <w:t xml:space="preserve"> </w:t>
      </w:r>
      <w:r w:rsidR="0039546F">
        <w:rPr>
          <w:rFonts w:cs="AdvP7C34"/>
        </w:rPr>
        <w:t>(В3).</w:t>
      </w:r>
      <w:r w:rsidR="00B911ED">
        <w:rPr>
          <w:rFonts w:cs="AdvP7C34"/>
        </w:rPr>
        <w:t xml:space="preserve"> </w:t>
      </w:r>
      <w:r w:rsidR="0056191D">
        <w:rPr>
          <w:rFonts w:cs="AdvP7C34"/>
        </w:rPr>
        <w:t>Хотя</w:t>
      </w:r>
      <w:r w:rsidR="00B911ED">
        <w:rPr>
          <w:rFonts w:cs="AdvP7C34"/>
        </w:rPr>
        <w:t xml:space="preserve"> курение</w:t>
      </w:r>
      <w:r w:rsidR="0056191D">
        <w:rPr>
          <w:rFonts w:cs="AdvP7C34"/>
        </w:rPr>
        <w:t xml:space="preserve"> достоверно</w:t>
      </w:r>
      <w:r w:rsidR="00B911ED">
        <w:rPr>
          <w:rFonts w:cs="AdvP7C34"/>
        </w:rPr>
        <w:t xml:space="preserve"> </w:t>
      </w:r>
      <w:r w:rsidR="0056191D">
        <w:rPr>
          <w:rFonts w:cs="AdvP7C34"/>
        </w:rPr>
        <w:t>является важным фактором риска, здоровых молодых людей в первую очередь следует настраивать на отказ от этой привычки. 3) Ревакцинация может быть обоснована через 5-10 лет после первой вакцинации (В3).</w:t>
      </w:r>
    </w:p>
    <w:p w:rsidR="0056191D" w:rsidRDefault="00F538DC" w:rsidP="004F26F6">
      <w:pPr>
        <w:autoSpaceDE w:val="0"/>
        <w:autoSpaceDN w:val="0"/>
        <w:adjustRightInd w:val="0"/>
        <w:rPr>
          <w:rFonts w:cs="AdvP7C34"/>
          <w:i/>
        </w:rPr>
      </w:pPr>
      <w:r w:rsidRPr="00F538DC">
        <w:rPr>
          <w:rFonts w:cs="AdvP7C34"/>
          <w:i/>
        </w:rPr>
        <w:t>Какая тактика оптимальн</w:t>
      </w:r>
      <w:r>
        <w:rPr>
          <w:rFonts w:cs="AdvP7C34"/>
          <w:i/>
        </w:rPr>
        <w:t xml:space="preserve">а </w:t>
      </w:r>
      <w:r w:rsidR="006D4CAD">
        <w:rPr>
          <w:rFonts w:cs="AdvP7C34"/>
          <w:i/>
        </w:rPr>
        <w:t xml:space="preserve">для проведения </w:t>
      </w:r>
      <w:r w:rsidR="002532EB">
        <w:rPr>
          <w:rFonts w:cs="AdvP7C34"/>
          <w:i/>
        </w:rPr>
        <w:t>противо</w:t>
      </w:r>
      <w:r w:rsidR="006D4CAD">
        <w:rPr>
          <w:rFonts w:cs="AdvP7C34"/>
          <w:i/>
        </w:rPr>
        <w:t xml:space="preserve">гриппозной и </w:t>
      </w:r>
      <w:proofErr w:type="spellStart"/>
      <w:r w:rsidR="002532EB">
        <w:rPr>
          <w:rFonts w:cs="AdvP7C34"/>
          <w:i/>
        </w:rPr>
        <w:t>анти</w:t>
      </w:r>
      <w:r w:rsidR="006D4CAD">
        <w:rPr>
          <w:rFonts w:cs="AdvP7C34"/>
          <w:i/>
        </w:rPr>
        <w:t>пневмококковой</w:t>
      </w:r>
      <w:proofErr w:type="spellEnd"/>
      <w:r w:rsidR="006D4CAD">
        <w:rPr>
          <w:rFonts w:cs="AdvP7C34"/>
          <w:i/>
        </w:rPr>
        <w:t xml:space="preserve"> вакцинации?</w:t>
      </w:r>
    </w:p>
    <w:p w:rsidR="006D4CAD" w:rsidRPr="006D4CAD" w:rsidRDefault="0019176A" w:rsidP="004F26F6">
      <w:pPr>
        <w:autoSpaceDE w:val="0"/>
        <w:autoSpaceDN w:val="0"/>
        <w:adjustRightInd w:val="0"/>
        <w:rPr>
          <w:rFonts w:cs="AdvP7C34"/>
        </w:rPr>
      </w:pPr>
      <w:r>
        <w:rPr>
          <w:rFonts w:cs="AdvP7C34"/>
        </w:rPr>
        <w:t>Активная</w:t>
      </w:r>
      <w:r w:rsidR="006D4CAD">
        <w:rPr>
          <w:rFonts w:cs="AdvP7C34"/>
        </w:rPr>
        <w:t xml:space="preserve"> вакцинация одной или обеими вакцинами эффективна и необходима для адекватной </w:t>
      </w:r>
      <w:r>
        <w:rPr>
          <w:rFonts w:cs="AdvP7C34"/>
        </w:rPr>
        <w:t>иммунизации</w:t>
      </w:r>
      <w:r w:rsidR="006D4CAD">
        <w:rPr>
          <w:rFonts w:cs="AdvP7C34"/>
        </w:rPr>
        <w:t xml:space="preserve"> целевых групп населения (В</w:t>
      </w:r>
      <w:proofErr w:type="gramStart"/>
      <w:r w:rsidR="006D4CAD">
        <w:rPr>
          <w:rFonts w:cs="AdvP7C34"/>
        </w:rPr>
        <w:t>1</w:t>
      </w:r>
      <w:proofErr w:type="gramEnd"/>
      <w:r w:rsidR="006D4CAD">
        <w:rPr>
          <w:rFonts w:cs="AdvP7C34"/>
        </w:rPr>
        <w:t>).</w:t>
      </w:r>
    </w:p>
    <w:p w:rsidR="00D23199" w:rsidRPr="00D23199" w:rsidRDefault="00D23199" w:rsidP="00985896">
      <w:pPr>
        <w:autoSpaceDE w:val="0"/>
        <w:autoSpaceDN w:val="0"/>
        <w:adjustRightInd w:val="0"/>
        <w:spacing w:after="0" w:line="240" w:lineRule="auto"/>
        <w:rPr>
          <w:rFonts w:cs="AdvP7C34"/>
        </w:rPr>
      </w:pPr>
    </w:p>
    <w:p w:rsidR="00E249D0" w:rsidRPr="00985896" w:rsidRDefault="00E249D0" w:rsidP="00D95DA6"/>
    <w:p w:rsidR="001208DF" w:rsidRPr="001208DF" w:rsidRDefault="001208DF" w:rsidP="00D95DA6">
      <w:pPr>
        <w:rPr>
          <w:b/>
        </w:rPr>
      </w:pPr>
    </w:p>
    <w:p w:rsidR="005F6BE3" w:rsidRPr="005175BE" w:rsidRDefault="005F6BE3" w:rsidP="00D95DA6"/>
    <w:p w:rsidR="009824D3" w:rsidRPr="006841CE" w:rsidRDefault="009824D3" w:rsidP="00D95DA6"/>
    <w:p w:rsidR="00844663" w:rsidRPr="00844663" w:rsidRDefault="00844663" w:rsidP="00D95DA6"/>
    <w:sectPr w:rsidR="00844663" w:rsidRPr="00844663" w:rsidSect="0024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vP7C2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ECF8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ECF8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ECF81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7C34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ECF81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DA6"/>
    <w:rsid w:val="0000450A"/>
    <w:rsid w:val="00011134"/>
    <w:rsid w:val="00013289"/>
    <w:rsid w:val="00013910"/>
    <w:rsid w:val="00020316"/>
    <w:rsid w:val="000240A7"/>
    <w:rsid w:val="00030D1F"/>
    <w:rsid w:val="000319CB"/>
    <w:rsid w:val="0005188A"/>
    <w:rsid w:val="00053605"/>
    <w:rsid w:val="00061C54"/>
    <w:rsid w:val="00062740"/>
    <w:rsid w:val="0008348C"/>
    <w:rsid w:val="00086E50"/>
    <w:rsid w:val="0009552B"/>
    <w:rsid w:val="000A46E5"/>
    <w:rsid w:val="000B2CFF"/>
    <w:rsid w:val="000E67C5"/>
    <w:rsid w:val="000F2E4E"/>
    <w:rsid w:val="00100B30"/>
    <w:rsid w:val="001208DF"/>
    <w:rsid w:val="001667C2"/>
    <w:rsid w:val="00167E3E"/>
    <w:rsid w:val="00173599"/>
    <w:rsid w:val="00190F11"/>
    <w:rsid w:val="0019176A"/>
    <w:rsid w:val="001B659B"/>
    <w:rsid w:val="001D5E77"/>
    <w:rsid w:val="001E4570"/>
    <w:rsid w:val="0021222A"/>
    <w:rsid w:val="00212EC7"/>
    <w:rsid w:val="0021311C"/>
    <w:rsid w:val="0022163B"/>
    <w:rsid w:val="002275BC"/>
    <w:rsid w:val="002403BF"/>
    <w:rsid w:val="002406FF"/>
    <w:rsid w:val="00242D3F"/>
    <w:rsid w:val="00253024"/>
    <w:rsid w:val="002532EB"/>
    <w:rsid w:val="00265EAE"/>
    <w:rsid w:val="00271FFD"/>
    <w:rsid w:val="0027543B"/>
    <w:rsid w:val="002B0781"/>
    <w:rsid w:val="002B2B31"/>
    <w:rsid w:val="002C08EB"/>
    <w:rsid w:val="002D47BD"/>
    <w:rsid w:val="002D5392"/>
    <w:rsid w:val="002F5FFC"/>
    <w:rsid w:val="00301F02"/>
    <w:rsid w:val="00305B44"/>
    <w:rsid w:val="00311851"/>
    <w:rsid w:val="003141C3"/>
    <w:rsid w:val="003143AA"/>
    <w:rsid w:val="00330022"/>
    <w:rsid w:val="0033285B"/>
    <w:rsid w:val="0033596D"/>
    <w:rsid w:val="00356D0C"/>
    <w:rsid w:val="003613C4"/>
    <w:rsid w:val="0039546F"/>
    <w:rsid w:val="003A5083"/>
    <w:rsid w:val="003A611C"/>
    <w:rsid w:val="003A64E8"/>
    <w:rsid w:val="003E7472"/>
    <w:rsid w:val="003F1139"/>
    <w:rsid w:val="00401AA6"/>
    <w:rsid w:val="00405AEC"/>
    <w:rsid w:val="0041499A"/>
    <w:rsid w:val="004236F0"/>
    <w:rsid w:val="004305E3"/>
    <w:rsid w:val="00454F60"/>
    <w:rsid w:val="00484247"/>
    <w:rsid w:val="004C02ED"/>
    <w:rsid w:val="004C21BE"/>
    <w:rsid w:val="004D0D5F"/>
    <w:rsid w:val="004D4AD9"/>
    <w:rsid w:val="004E2965"/>
    <w:rsid w:val="004E61BC"/>
    <w:rsid w:val="004F26F6"/>
    <w:rsid w:val="005175BE"/>
    <w:rsid w:val="00517991"/>
    <w:rsid w:val="005222AB"/>
    <w:rsid w:val="0056191D"/>
    <w:rsid w:val="00562EE4"/>
    <w:rsid w:val="005641E6"/>
    <w:rsid w:val="0057214D"/>
    <w:rsid w:val="00576C03"/>
    <w:rsid w:val="005813AB"/>
    <w:rsid w:val="005B1183"/>
    <w:rsid w:val="005B44A7"/>
    <w:rsid w:val="005B6F93"/>
    <w:rsid w:val="005D036E"/>
    <w:rsid w:val="005E0672"/>
    <w:rsid w:val="005E20EC"/>
    <w:rsid w:val="005E4D7C"/>
    <w:rsid w:val="005E5238"/>
    <w:rsid w:val="005F6BE3"/>
    <w:rsid w:val="00601287"/>
    <w:rsid w:val="0060400B"/>
    <w:rsid w:val="00605DDF"/>
    <w:rsid w:val="00607434"/>
    <w:rsid w:val="00635406"/>
    <w:rsid w:val="00645A20"/>
    <w:rsid w:val="006634CB"/>
    <w:rsid w:val="006676FF"/>
    <w:rsid w:val="00673273"/>
    <w:rsid w:val="006841CC"/>
    <w:rsid w:val="006841CE"/>
    <w:rsid w:val="00684792"/>
    <w:rsid w:val="006923DF"/>
    <w:rsid w:val="006A19C6"/>
    <w:rsid w:val="006C14AC"/>
    <w:rsid w:val="006D4CAD"/>
    <w:rsid w:val="006D5B8D"/>
    <w:rsid w:val="006E00EE"/>
    <w:rsid w:val="006F7F66"/>
    <w:rsid w:val="00711C60"/>
    <w:rsid w:val="0072729F"/>
    <w:rsid w:val="0073499D"/>
    <w:rsid w:val="00740884"/>
    <w:rsid w:val="00746BB4"/>
    <w:rsid w:val="00753BE5"/>
    <w:rsid w:val="0077422D"/>
    <w:rsid w:val="00776032"/>
    <w:rsid w:val="00786983"/>
    <w:rsid w:val="007B16B3"/>
    <w:rsid w:val="007C2129"/>
    <w:rsid w:val="007D22D6"/>
    <w:rsid w:val="007D5DFA"/>
    <w:rsid w:val="007F08DA"/>
    <w:rsid w:val="007F2271"/>
    <w:rsid w:val="007F39B1"/>
    <w:rsid w:val="007F4FCD"/>
    <w:rsid w:val="007F6E47"/>
    <w:rsid w:val="008037C8"/>
    <w:rsid w:val="00814DA6"/>
    <w:rsid w:val="008226AF"/>
    <w:rsid w:val="00830ACF"/>
    <w:rsid w:val="00844663"/>
    <w:rsid w:val="008735BC"/>
    <w:rsid w:val="00882C68"/>
    <w:rsid w:val="008950C1"/>
    <w:rsid w:val="008A1BC5"/>
    <w:rsid w:val="00902BB9"/>
    <w:rsid w:val="00923B73"/>
    <w:rsid w:val="0093519E"/>
    <w:rsid w:val="00935661"/>
    <w:rsid w:val="00966E06"/>
    <w:rsid w:val="00980A71"/>
    <w:rsid w:val="009824D3"/>
    <w:rsid w:val="00985896"/>
    <w:rsid w:val="009945C2"/>
    <w:rsid w:val="009A191A"/>
    <w:rsid w:val="009A2F9A"/>
    <w:rsid w:val="009B6CB9"/>
    <w:rsid w:val="009B7468"/>
    <w:rsid w:val="009C070D"/>
    <w:rsid w:val="009D240A"/>
    <w:rsid w:val="009D6588"/>
    <w:rsid w:val="009E7591"/>
    <w:rsid w:val="009F55D7"/>
    <w:rsid w:val="009F620B"/>
    <w:rsid w:val="00A16D8D"/>
    <w:rsid w:val="00A23105"/>
    <w:rsid w:val="00A60C60"/>
    <w:rsid w:val="00A67364"/>
    <w:rsid w:val="00A71257"/>
    <w:rsid w:val="00A80B7E"/>
    <w:rsid w:val="00A87941"/>
    <w:rsid w:val="00A87EF4"/>
    <w:rsid w:val="00A95FEF"/>
    <w:rsid w:val="00A970B6"/>
    <w:rsid w:val="00AA639D"/>
    <w:rsid w:val="00AB02DE"/>
    <w:rsid w:val="00AB4419"/>
    <w:rsid w:val="00AB6C2A"/>
    <w:rsid w:val="00B23B8E"/>
    <w:rsid w:val="00B4213D"/>
    <w:rsid w:val="00B52F20"/>
    <w:rsid w:val="00B54F68"/>
    <w:rsid w:val="00B7174B"/>
    <w:rsid w:val="00B911ED"/>
    <w:rsid w:val="00B91F53"/>
    <w:rsid w:val="00B924EE"/>
    <w:rsid w:val="00BA2A32"/>
    <w:rsid w:val="00BB6C9F"/>
    <w:rsid w:val="00BE5336"/>
    <w:rsid w:val="00C371EC"/>
    <w:rsid w:val="00C43610"/>
    <w:rsid w:val="00C5685D"/>
    <w:rsid w:val="00C92FA1"/>
    <w:rsid w:val="00CA0946"/>
    <w:rsid w:val="00CB3406"/>
    <w:rsid w:val="00CB697D"/>
    <w:rsid w:val="00CC4ED7"/>
    <w:rsid w:val="00CD370D"/>
    <w:rsid w:val="00D0394E"/>
    <w:rsid w:val="00D05E8F"/>
    <w:rsid w:val="00D070AC"/>
    <w:rsid w:val="00D127A0"/>
    <w:rsid w:val="00D141DA"/>
    <w:rsid w:val="00D219F0"/>
    <w:rsid w:val="00D23199"/>
    <w:rsid w:val="00D26C59"/>
    <w:rsid w:val="00D33844"/>
    <w:rsid w:val="00D35B05"/>
    <w:rsid w:val="00D40E9D"/>
    <w:rsid w:val="00D505D3"/>
    <w:rsid w:val="00D57511"/>
    <w:rsid w:val="00D62BB2"/>
    <w:rsid w:val="00D8355E"/>
    <w:rsid w:val="00D85BEC"/>
    <w:rsid w:val="00D94095"/>
    <w:rsid w:val="00D9477C"/>
    <w:rsid w:val="00D95DA6"/>
    <w:rsid w:val="00DA0891"/>
    <w:rsid w:val="00DA5A81"/>
    <w:rsid w:val="00DE3B75"/>
    <w:rsid w:val="00E02B2B"/>
    <w:rsid w:val="00E05C6A"/>
    <w:rsid w:val="00E249D0"/>
    <w:rsid w:val="00E367A2"/>
    <w:rsid w:val="00E3770E"/>
    <w:rsid w:val="00E47D3D"/>
    <w:rsid w:val="00E5083D"/>
    <w:rsid w:val="00E522DF"/>
    <w:rsid w:val="00E72C51"/>
    <w:rsid w:val="00EA1823"/>
    <w:rsid w:val="00EA1ED5"/>
    <w:rsid w:val="00EA2BED"/>
    <w:rsid w:val="00EA67D2"/>
    <w:rsid w:val="00EA77BF"/>
    <w:rsid w:val="00EB36BC"/>
    <w:rsid w:val="00EB6667"/>
    <w:rsid w:val="00EC1876"/>
    <w:rsid w:val="00ED3C60"/>
    <w:rsid w:val="00EF58F6"/>
    <w:rsid w:val="00F257FF"/>
    <w:rsid w:val="00F2630E"/>
    <w:rsid w:val="00F36C13"/>
    <w:rsid w:val="00F42305"/>
    <w:rsid w:val="00F4546D"/>
    <w:rsid w:val="00F504C5"/>
    <w:rsid w:val="00F538DC"/>
    <w:rsid w:val="00F53FD7"/>
    <w:rsid w:val="00F572F7"/>
    <w:rsid w:val="00F576F2"/>
    <w:rsid w:val="00F63F94"/>
    <w:rsid w:val="00F73FB4"/>
    <w:rsid w:val="00F749A7"/>
    <w:rsid w:val="00FA0CB1"/>
    <w:rsid w:val="00FA5B6A"/>
    <w:rsid w:val="00FC288F"/>
    <w:rsid w:val="00FC56C8"/>
    <w:rsid w:val="00FC7596"/>
    <w:rsid w:val="00FD5D88"/>
    <w:rsid w:val="00FD6957"/>
    <w:rsid w:val="00FD701C"/>
    <w:rsid w:val="00FF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11</Pages>
  <Words>4018</Words>
  <Characters>22905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187</cp:revision>
  <dcterms:created xsi:type="dcterms:W3CDTF">2013-11-23T15:22:00Z</dcterms:created>
  <dcterms:modified xsi:type="dcterms:W3CDTF">2013-12-15T12:28:00Z</dcterms:modified>
</cp:coreProperties>
</file>